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bookmarkStart w:id="0" w:name="bookmark6"/>
      <w:bookmarkStart w:id="1" w:name="bookmark4"/>
      <w:bookmarkStart w:id="2" w:name="bookmark3"/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三门峡市住房和城乡建设局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关于印发2021年</w:t>
      </w:r>
      <w:bookmarkStart w:id="7" w:name="_GoBack"/>
      <w:bookmarkEnd w:id="7"/>
      <w:r>
        <w:rPr>
          <w:rFonts w:hint="eastAsia" w:ascii="文星标宋" w:hAnsi="文星标宋" w:eastAsia="文星标宋" w:cs="文星标宋"/>
          <w:sz w:val="44"/>
          <w:szCs w:val="44"/>
        </w:rPr>
        <w:t>度</w:t>
      </w:r>
      <w:r>
        <w:rPr>
          <w:rFonts w:hint="eastAsia" w:ascii="文星标宋" w:hAnsi="文星标宋" w:eastAsia="文星标宋" w:cs="文星标宋"/>
          <w:sz w:val="44"/>
          <w:szCs w:val="44"/>
          <w:lang w:val="zh-CN" w:eastAsia="zh-CN"/>
        </w:rPr>
        <w:t>“双</w:t>
      </w:r>
      <w:r>
        <w:rPr>
          <w:rFonts w:hint="eastAsia" w:ascii="文星标宋" w:hAnsi="文星标宋" w:eastAsia="文星标宋" w:cs="文星标宋"/>
          <w:sz w:val="44"/>
          <w:szCs w:val="44"/>
        </w:rPr>
        <w:t>随机、一公开”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bookmarkStart w:id="3" w:name="bookmark7"/>
      <w:r>
        <w:rPr>
          <w:rFonts w:hint="eastAsia" w:ascii="文星标宋" w:hAnsi="文星标宋" w:eastAsia="文星标宋" w:cs="文星标宋"/>
          <w:sz w:val="44"/>
          <w:szCs w:val="44"/>
        </w:rPr>
        <w:t>抽查计划的通知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局机关各科室、局属各单位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</w:t>
      </w:r>
      <w:r>
        <w:rPr>
          <w:rFonts w:hint="eastAsia" w:ascii="仿宋" w:hAnsi="仿宋" w:eastAsia="仿宋" w:cs="仿宋"/>
          <w:sz w:val="32"/>
          <w:szCs w:val="32"/>
        </w:rPr>
        <w:t>住房和城乡建设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2021年度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“双</w:t>
      </w:r>
      <w:r>
        <w:rPr>
          <w:rFonts w:hint="eastAsia" w:ascii="仿宋" w:hAnsi="仿宋" w:eastAsia="仿宋" w:cs="仿宋"/>
          <w:sz w:val="32"/>
          <w:szCs w:val="32"/>
        </w:rPr>
        <w:t>随机、一公开”抽查计划》印发你们，请结合实际，认真落实。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2021年7月2日      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4" w:name="bookmark8"/>
      <w:bookmarkStart w:id="5" w:name="bookmark10"/>
      <w:bookmarkStart w:id="6" w:name="bookmark9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2021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双随机</w:t>
      </w:r>
      <w:r>
        <w:rPr>
          <w:rFonts w:hint="eastAsia" w:ascii="黑体" w:hAnsi="黑体" w:eastAsia="黑体" w:cs="黑体"/>
          <w:sz w:val="32"/>
          <w:szCs w:val="32"/>
        </w:rPr>
        <w:t>、一公开”抽查计划</w:t>
      </w:r>
      <w:bookmarkEnd w:id="4"/>
      <w:bookmarkEnd w:id="5"/>
      <w:bookmarkEnd w:id="6"/>
    </w:p>
    <w:tbl>
      <w:tblPr>
        <w:tblStyle w:val="4"/>
        <w:tblW w:w="1528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1699"/>
        <w:gridCol w:w="3492"/>
        <w:gridCol w:w="857"/>
        <w:gridCol w:w="1368"/>
        <w:gridCol w:w="1152"/>
        <w:gridCol w:w="958"/>
        <w:gridCol w:w="1068"/>
        <w:gridCol w:w="1110"/>
        <w:gridCol w:w="1934"/>
        <w:gridCol w:w="971"/>
      </w:tblGrid>
      <w:tr>
        <w:tblPrEx>
          <w:tblLayout w:type="fixed"/>
        </w:tblPrEx>
        <w:trPr>
          <w:trHeight w:val="590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编号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抽查事项名称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抽查依据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主体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抽查对象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抽查比例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抽查频次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抽查时间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抽查方式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抽查内容及要求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6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工程勘察设计企业监督检查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《中华人民共和国建筑法》第十三条：《建设工程勘察设计管理条例》（国务院令第293号）第五条、第三十一条；《建设工程勘察设计资质管理规定》（建设部令第160号）第四条、第二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一条、第二十二条。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具备工程勘察设计资质的企业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 xml:space="preserve">-11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网络检查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1、工程勘察、工程设计资质证书、注册执业人员的注册执业单位与实际工作单位是否一致；2、社保缴费与人事档案等相关数据和信息是否一致；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3、参保缴费单位与注册单位是否一致。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6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工程勘察、设计、 审查市场、质量检查（含抗震）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《中华人民共和国防震减灾灾法》第 三十五条、第七十六条；《建设工程质量管理条例》（国务院令第279号）第十一条；《建设工程勘察设计管理条例》（国务院令第293号）第五条、第三十一条；《房屋建筑和市政基础设施工程施工图设计文件审查管理办法》（住房城乡建设部令第13号）第四条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勘察、设计企 业、审查机构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现场检查、书面检查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1.施工图是否通过审查；2.工程勘察现场作业质量控制情况；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 xml:space="preserve">3.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勘察设计文件及审查的规范性（包含超限高层建筑工程抗震设防）。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6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对建设工程消防 设计审查的监督 检查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《中华人民共和国消防法》第十条、 第十一条、第十二条、第十三条、第 十四条；《建设工程消防设计审查验收管理暂行规定》（中华人民共和国建设部令第51号）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工程项目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书面检查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档案资料是否完整，办理程序是否规范；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是否执行工程建设消防技术标准。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会同市市场监督管理部门联合检查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tbl>
      <w:tblPr>
        <w:tblStyle w:val="4"/>
        <w:tblW w:w="1536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735"/>
        <w:gridCol w:w="3470"/>
        <w:gridCol w:w="864"/>
        <w:gridCol w:w="1375"/>
        <w:gridCol w:w="1159"/>
        <w:gridCol w:w="950"/>
        <w:gridCol w:w="958"/>
        <w:gridCol w:w="1038"/>
        <w:gridCol w:w="2116"/>
        <w:gridCol w:w="100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房地产估价机构 监督检查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《房地产估价机构管理办法》（建设 部令第142号）第五条、第三十七条；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《中华人民共和国资产评估法》第四 十条。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房地产估价机构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不超过机构总数的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现场检查、书面 检查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房地产估价机构情况；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专职房地产估价师情况。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房地产开发企业监督检查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《房地产开发企业资质管理规定》（建设部令第77号）第四条、第十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―条。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房地产开发企业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现场检查、书面检查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企业基本情况；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近三年开发项目情况；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市场经营行为情况。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物业服务企业监督检查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《物业管理条例》第五条；《河南省物业管理条例》第六条。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开展有物业管理服务项目的物业服务企业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现场检査、书面检查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企业依法经营情况；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项目管理服务情况。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建筑市场监督检 查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《中华人民共和国建筑法》第四十三 条；《河南省建筑市场管理条例》第四条、第十条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在建房屋建筑和市政基础设施工程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不超过在建项目数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现场检查、书面检查、网络检查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 .施工发承包情况；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2.保障农民工工资支付制度落实情况。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合并检查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1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建筑业企业资质 监督检查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《建筑业企业资质管理规定》（住房 和城乡建设部令第22号）。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建筑业企业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不超过总资质数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现场检查、书面检查、网络检查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建筑业企业满足资质 标准情况。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工程监理企业资 质监督检查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《工程监理企业资质管理规定》（建 设部令第158号）。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工程监理企业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不超过总资质数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现场检査、书面检查、网络检查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工程监理企业满足资 质标准情况。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tbl>
      <w:tblPr>
        <w:tblStyle w:val="4"/>
        <w:tblW w:w="1530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1699"/>
        <w:gridCol w:w="3499"/>
        <w:gridCol w:w="857"/>
        <w:gridCol w:w="1375"/>
        <w:gridCol w:w="1152"/>
        <w:gridCol w:w="950"/>
        <w:gridCol w:w="958"/>
        <w:gridCol w:w="1041"/>
        <w:gridCol w:w="2106"/>
        <w:gridCol w:w="98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6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建设工程质量监 督检査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《建设工程质量管理条例》（国务院令第279号）第四条、第四十三条、第四十七条。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在建房屋建筑和市政基础设施工程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共不超过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现场检査、书面检査、网络检查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参建主体质量行为；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工程实体质量和进场建筑材料、设备情况；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工程质量检测机构、 监督机构履职情况。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合并检查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5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建设工程安全监督检查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《中华人民共和国建筑法》第四十三条；《建设工程安全生产管理条例》（国务院令第393号）第四十条、第四十三条；《安全生产许可证条例》（国务院令第397号）第四条。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在建房屋建筑和市政基础设施工程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共不超过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1次/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现场检查、书面检查、网络检查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参建主体安全管理措施和安全责任落实情况；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安全生产法律法规、 强制性标准、规范执 行情况；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参建施工企业安全生产许可情况：是否具备取得安全生产许可证要求的安全生产条件，安全生产许可证是否在有效期内，是否存在转让、冒用或使用伪造安全生产许可证行为；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安全三类人员、特种 作业人员持证上岗、教育培训和履职尽责情况；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项目扬尘治理措施落实情况。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  <w:sectPr>
          <w:footerReference r:id="rId3" w:type="default"/>
          <w:footerReference r:id="rId4" w:type="even"/>
          <w:footnotePr>
            <w:numFmt w:val="decimal"/>
          </w:footnotePr>
          <w:pgSz w:w="16840" w:h="11900" w:orient="landscape"/>
          <w:pgMar w:top="1435" w:right="646" w:bottom="1747" w:left="786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154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0"/>
        <w:gridCol w:w="1706"/>
        <w:gridCol w:w="3506"/>
        <w:gridCol w:w="857"/>
        <w:gridCol w:w="1382"/>
        <w:gridCol w:w="1159"/>
        <w:gridCol w:w="950"/>
        <w:gridCol w:w="958"/>
        <w:gridCol w:w="958"/>
        <w:gridCol w:w="2203"/>
        <w:gridCol w:w="100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建筑节能与墙材革新、工程建设强制性标准监督检查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《民用建筑节能条例》（国务院令第530号）第五条；《河南省发展应用新型墙体材料条例》第六条、第二十条。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《实施工程建设强制性标准监督规定》（建设部令第81号）第四条、 第八条、第九条、第十条。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居住建筑、公共建筑和市政基础设施工程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8-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11月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 查、书面 检查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国家、省有关建筑节能、绿色建筑、新型墙材的法律、法规及标准规范的执行情况；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工程技术人员是否熟悉、掌握强制性标准；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勘察、设计、施工、验收等阶段责任主体是否符合强制性标准规定；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采用的材料、设备否符合强制性标准规定；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安全、质量是否符合强制性标准规定；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工程中釆用的导则、指南、手册、计算机软件的内容是否符合强制性标准规定。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造价咨询企业监 督检查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《工程造价咨询企业管理办法》（建设部令第50号）有关条文。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执业的造价咨询企业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30%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现场检查、书面 检查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成果文件质量。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tbl>
      <w:tblPr>
        <w:tblStyle w:val="4"/>
        <w:tblW w:w="1527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"/>
        <w:gridCol w:w="1699"/>
        <w:gridCol w:w="3492"/>
        <w:gridCol w:w="857"/>
        <w:gridCol w:w="1368"/>
        <w:gridCol w:w="1152"/>
        <w:gridCol w:w="950"/>
        <w:gridCol w:w="958"/>
        <w:gridCol w:w="958"/>
        <w:gridCol w:w="2189"/>
        <w:gridCol w:w="97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8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建筑工程发承包 计价活动监督检 查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《建筑工程施工发包与承包计价管理办法》（住房城乡建设部令第16号）第四条、第二十一条。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在建房屋建筑和市政基础设施工程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 查、书面 检查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计价行为是否符合工程量清单计价规范等。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6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城镇排水和污水 处理设施监督检 查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《中华人民共和国水污染防治法》第九条、第四十四条；《城镇排水与污水处理条例》（国务院令第641号）第五条、第四十四条。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城镇生活污水处理运营单位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次/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 查、书面 检查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对运行管理、污染物达标排放、污泥处理处置等方面开展检査。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2" w:hRule="exac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燃气企业监督检 查</w:t>
            </w:r>
          </w:p>
        </w:tc>
        <w:tc>
          <w:tcPr>
            <w:tcW w:w="3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《城镇燃气管理条例》（国务院令第583号）第五条、第四十一条；《河南省城镇燃气管理办法》（省政府令第158号）第五条。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燃气企业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共不超过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1次/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8-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11月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现场检查、书面 检查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1.是否制定安全检查 方案；2.是否开展燃气 安全自查自纠活动；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3.是否建立燃气安全隐患台账；4.是否开展入户检查；5.是否存在管线占压情况；6.是否存在无证经营情况；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是否开展燃气安全知识宣传活动；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对燃气用户的服务是否到位等。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tbl>
      <w:tblPr>
        <w:tblStyle w:val="4"/>
        <w:tblW w:w="1535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714"/>
        <w:gridCol w:w="3499"/>
        <w:gridCol w:w="919"/>
        <w:gridCol w:w="1313"/>
        <w:gridCol w:w="1159"/>
        <w:gridCol w:w="950"/>
        <w:gridCol w:w="958"/>
        <w:gridCol w:w="958"/>
        <w:gridCol w:w="2196"/>
        <w:gridCol w:w="100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3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18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建造师、勘察设计工程师、造价工程师、建筑师、监理工程师注册及继续教育情况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《注册建造师管理规定》（建设部令第153号）第四条、第九条、第二十七条、第二十九条。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《勘察设计注册工程师管理规定》（建设部令第137号）第五条、第九条、第二十七条。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《注册造价工程师管理办法》（建设部令第150号）第四条、第二十三条、第二十五条。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《注册建筑师条例》（国务院令第184号）第四条、第十二条、第二十八条。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《注册监理工程师管理规定》（中华人民共和国建设部令第147号）第二章、第四章相关条款、第二十八条。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三门峡市住房和城乡建设局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注册建造师、 注册勘察设计工程师、注册造价工程师、注册建筑师、注册监理工程师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不超过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%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1次/年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  <w:t>-12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现场检查、网络 检查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注册证书是否在有效期内；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注册备料是否真实、合法；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是否完成规定继续教育学时；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是否存在挂靠行为。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5370830</wp:posOffset>
              </wp:positionH>
              <wp:positionV relativeFrom="page">
                <wp:posOffset>6515100</wp:posOffset>
              </wp:positionV>
              <wp:extent cx="68580" cy="10541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422.9pt;margin-top:513pt;height:8.3pt;width:5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hyP+8NgAAAANAQAADwAAAAAAAAABACAAAAAiAAAAZHJzL2Rvd25y&#10;ZXYueG1sUEsBAhQAFAAAAAgAh07iQAqGNRO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756040"/>
    <w:multiLevelType w:val="singleLevel"/>
    <w:tmpl w:val="DD7560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03F52"/>
    <w:rsid w:val="052D5B2C"/>
    <w:rsid w:val="07B60432"/>
    <w:rsid w:val="0DAD4C8A"/>
    <w:rsid w:val="0DB92693"/>
    <w:rsid w:val="0FD14EA6"/>
    <w:rsid w:val="15E47342"/>
    <w:rsid w:val="1A8465DA"/>
    <w:rsid w:val="1AB629FA"/>
    <w:rsid w:val="1DA836C1"/>
    <w:rsid w:val="1F193D1B"/>
    <w:rsid w:val="20912514"/>
    <w:rsid w:val="221A1CEA"/>
    <w:rsid w:val="23B61A3A"/>
    <w:rsid w:val="2E652036"/>
    <w:rsid w:val="2F303F52"/>
    <w:rsid w:val="2FAA1F05"/>
    <w:rsid w:val="31D81B74"/>
    <w:rsid w:val="33E703D6"/>
    <w:rsid w:val="34930990"/>
    <w:rsid w:val="4D932079"/>
    <w:rsid w:val="4FE91014"/>
    <w:rsid w:val="523C3EA4"/>
    <w:rsid w:val="537E7ED6"/>
    <w:rsid w:val="54F61F52"/>
    <w:rsid w:val="56877E82"/>
    <w:rsid w:val="5CB23C18"/>
    <w:rsid w:val="5F9E1595"/>
    <w:rsid w:val="6440766A"/>
    <w:rsid w:val="6E9D43D0"/>
    <w:rsid w:val="77982BC1"/>
    <w:rsid w:val="785F1DFA"/>
    <w:rsid w:val="7B901D3A"/>
    <w:rsid w:val="7F17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2021-06-22T02:24:00Z</dcterms:created>
  <dc:creator>除膜慰道瞄人缝</dc:creator>
  <cp:lastModifiedBy>Administrator</cp:lastModifiedBy>
  <dcterms:modified xsi:type="dcterms:W3CDTF">2021-09-30T00:22:28Z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AD36D8C18B7E49D29BEFA641AB654FF3</vt:lpwstr>
  </property>
</Properties>
</file>