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outlineLvl w:val="2"/>
        <w:rPr>
          <w:rFonts w:hint="default" w:ascii="Times New Roman" w:hAnsi="Times New Roman" w:eastAsia="CESI小标宋-GB2312" w:cs="Times New Roman"/>
          <w:bCs/>
          <w:kern w:val="0"/>
          <w:sz w:val="44"/>
          <w:szCs w:val="44"/>
        </w:rPr>
      </w:pPr>
      <w:r>
        <w:rPr>
          <w:rFonts w:hint="default" w:ascii="Times New Roman" w:hAnsi="Times New Roman" w:eastAsia="CESI小标宋-GB2312" w:cs="Times New Roman"/>
          <w:sz w:val="44"/>
        </w:rPr>
        <w:t>三门峡市住宅小区</w:t>
      </w:r>
      <w:r>
        <w:rPr>
          <w:rFonts w:hint="eastAsia" w:ascii="Times New Roman" w:hAnsi="Times New Roman" w:eastAsia="CESI小标宋-GB2312" w:cs="Times New Roman"/>
          <w:sz w:val="44"/>
          <w:lang w:eastAsia="zh-CN"/>
        </w:rPr>
        <w:t>新能源</w:t>
      </w:r>
      <w:r>
        <w:rPr>
          <w:rFonts w:hint="default" w:ascii="Times New Roman" w:hAnsi="Times New Roman" w:eastAsia="CESI小标宋-GB2312" w:cs="Times New Roman"/>
          <w:bCs/>
          <w:kern w:val="0"/>
          <w:sz w:val="44"/>
          <w:szCs w:val="44"/>
        </w:rPr>
        <w:t>汽车</w:t>
      </w:r>
    </w:p>
    <w:p>
      <w:pPr>
        <w:widowControl/>
        <w:spacing w:line="560" w:lineRule="exact"/>
        <w:jc w:val="center"/>
        <w:outlineLvl w:val="2"/>
        <w:rPr>
          <w:rFonts w:hint="eastAsia" w:ascii="Times New Roman" w:hAnsi="Times New Roman" w:eastAsia="CESI小标宋-GB2312" w:cs="Times New Roman"/>
          <w:b/>
          <w:bCs/>
          <w:kern w:val="0"/>
          <w:sz w:val="44"/>
          <w:szCs w:val="44"/>
          <w:lang w:val="en-US" w:eastAsia="zh-CN"/>
        </w:rPr>
      </w:pPr>
      <w:r>
        <w:rPr>
          <w:rFonts w:hint="default" w:ascii="Times New Roman" w:hAnsi="Times New Roman" w:eastAsia="CESI小标宋-GB2312" w:cs="Times New Roman"/>
          <w:bCs/>
          <w:kern w:val="0"/>
          <w:sz w:val="44"/>
          <w:szCs w:val="44"/>
        </w:rPr>
        <w:t>充电设施建设实施方案</w:t>
      </w:r>
      <w:r>
        <w:rPr>
          <w:rFonts w:hint="eastAsia" w:ascii="Times New Roman" w:hAnsi="Times New Roman" w:eastAsia="CESI小标宋-GB2312" w:cs="Times New Roman"/>
          <w:bCs/>
          <w:kern w:val="0"/>
          <w:sz w:val="44"/>
          <w:szCs w:val="44"/>
          <w:lang w:eastAsia="zh-CN"/>
        </w:rPr>
        <w:t>（征求意见稿）</w:t>
      </w:r>
    </w:p>
    <w:p>
      <w:pPr>
        <w:widowControl/>
        <w:spacing w:line="560" w:lineRule="exact"/>
        <w:jc w:val="left"/>
        <w:outlineLvl w:val="3"/>
        <w:rPr>
          <w:rFonts w:hint="default" w:ascii="Times New Roman" w:hAnsi="Times New Roman" w:eastAsia="仿宋_GB2312" w:cs="Times New Roman"/>
          <w:b/>
          <w:bCs/>
          <w:kern w:val="0"/>
          <w:sz w:val="32"/>
          <w:szCs w:val="32"/>
        </w:rPr>
      </w:pPr>
    </w:p>
    <w:p>
      <w:pPr>
        <w:widowControl/>
        <w:spacing w:line="560" w:lineRule="exact"/>
        <w:ind w:firstLine="640" w:firstLineChars="200"/>
        <w:jc w:val="left"/>
        <w:outlineLvl w:val="3"/>
        <w:rPr>
          <w:rFonts w:hint="default" w:ascii="Times New Roman" w:hAnsi="Times New Roman" w:eastAsia="CESI仿宋-GB2312" w:cs="Times New Roman"/>
          <w:bCs/>
          <w:color w:val="auto"/>
          <w:kern w:val="0"/>
          <w:sz w:val="32"/>
          <w:szCs w:val="32"/>
        </w:rPr>
      </w:pPr>
      <w:r>
        <w:rPr>
          <w:rFonts w:hint="default" w:ascii="Times New Roman" w:hAnsi="Times New Roman" w:eastAsia="CESI仿宋-GB2312" w:cs="Times New Roman"/>
          <w:bCs/>
          <w:color w:val="auto"/>
          <w:kern w:val="0"/>
          <w:sz w:val="32"/>
          <w:szCs w:val="32"/>
        </w:rPr>
        <w:t>根据《国务院办公厅关于进一步构建高质量充电基础设施体系的指导意见》</w:t>
      </w:r>
      <w:r>
        <w:rPr>
          <w:rFonts w:hint="default" w:ascii="Times New Roman" w:hAnsi="Times New Roman" w:eastAsia="CESI仿宋-GB2312" w:cs="Times New Roman"/>
          <w:bCs/>
          <w:color w:val="auto"/>
          <w:kern w:val="0"/>
          <w:sz w:val="32"/>
          <w:szCs w:val="32"/>
          <w:lang w:val="en-US"/>
        </w:rPr>
        <w:t>（</w:t>
      </w:r>
      <w:r>
        <w:rPr>
          <w:rFonts w:hint="default" w:ascii="Times New Roman" w:hAnsi="Times New Roman" w:eastAsia="CESI仿宋-GB2312" w:cs="Times New Roman"/>
          <w:bCs/>
          <w:color w:val="auto"/>
          <w:kern w:val="0"/>
          <w:sz w:val="32"/>
          <w:szCs w:val="32"/>
        </w:rPr>
        <w:t>国办发〔2023〕19号</w:t>
      </w:r>
      <w:r>
        <w:rPr>
          <w:rFonts w:hint="default" w:ascii="Times New Roman" w:hAnsi="Times New Roman" w:eastAsia="CESI仿宋-GB2312" w:cs="Times New Roman"/>
          <w:bCs/>
          <w:color w:val="auto"/>
          <w:kern w:val="0"/>
          <w:sz w:val="32"/>
          <w:szCs w:val="32"/>
          <w:lang w:val="en-US"/>
        </w:rPr>
        <w:t>）</w:t>
      </w:r>
      <w:r>
        <w:rPr>
          <w:rFonts w:hint="default" w:ascii="Times New Roman" w:hAnsi="Times New Roman" w:eastAsia="CESI仿宋-GB2312" w:cs="Times New Roman"/>
          <w:bCs/>
          <w:color w:val="auto"/>
          <w:kern w:val="0"/>
          <w:sz w:val="32"/>
          <w:szCs w:val="32"/>
        </w:rPr>
        <w:t>、《河南省人民政府办公厅关于印发河南省加快电动汽车充电基础设施建设若干政策的通知》</w:t>
      </w:r>
      <w:r>
        <w:rPr>
          <w:rFonts w:hint="default" w:ascii="Times New Roman" w:hAnsi="Times New Roman" w:eastAsia="CESI仿宋-GB2312" w:cs="Times New Roman"/>
          <w:bCs/>
          <w:color w:val="auto"/>
          <w:kern w:val="0"/>
          <w:sz w:val="32"/>
          <w:szCs w:val="32"/>
          <w:lang w:val="en-US"/>
        </w:rPr>
        <w:t>（</w:t>
      </w:r>
      <w:r>
        <w:rPr>
          <w:rFonts w:hint="default" w:ascii="Times New Roman" w:hAnsi="Times New Roman" w:eastAsia="CESI仿宋-GB2312" w:cs="Times New Roman"/>
          <w:bCs/>
          <w:color w:val="auto"/>
          <w:kern w:val="0"/>
          <w:sz w:val="32"/>
          <w:szCs w:val="32"/>
        </w:rPr>
        <w:t>豫政办〔202</w:t>
      </w:r>
      <w:r>
        <w:rPr>
          <w:rFonts w:hint="default" w:ascii="Times New Roman" w:hAnsi="Times New Roman" w:eastAsia="CESI仿宋-GB2312" w:cs="Times New Roman"/>
          <w:bCs/>
          <w:color w:val="auto"/>
          <w:kern w:val="0"/>
          <w:sz w:val="32"/>
          <w:szCs w:val="32"/>
          <w:lang w:val="en-US"/>
        </w:rPr>
        <w:t>0</w:t>
      </w:r>
      <w:r>
        <w:rPr>
          <w:rFonts w:hint="default" w:ascii="Times New Roman" w:hAnsi="Times New Roman" w:eastAsia="CESI仿宋-GB2312" w:cs="Times New Roman"/>
          <w:bCs/>
          <w:color w:val="auto"/>
          <w:kern w:val="0"/>
          <w:sz w:val="32"/>
          <w:szCs w:val="32"/>
        </w:rPr>
        <w:t>〕30号</w:t>
      </w:r>
      <w:r>
        <w:rPr>
          <w:rFonts w:hint="default" w:ascii="Times New Roman" w:hAnsi="Times New Roman" w:eastAsia="CESI仿宋-GB2312" w:cs="Times New Roman"/>
          <w:bCs/>
          <w:color w:val="auto"/>
          <w:kern w:val="0"/>
          <w:sz w:val="32"/>
          <w:szCs w:val="32"/>
          <w:lang w:val="en-US"/>
        </w:rPr>
        <w:t>）</w:t>
      </w:r>
      <w:r>
        <w:rPr>
          <w:rFonts w:hint="default" w:ascii="Times New Roman" w:hAnsi="Times New Roman" w:eastAsia="CESI仿宋-GB2312" w:cs="Times New Roman"/>
          <w:bCs/>
          <w:color w:val="auto"/>
          <w:kern w:val="0"/>
          <w:sz w:val="32"/>
          <w:szCs w:val="32"/>
        </w:rPr>
        <w:t>和《河南省人民政府办公厅关于印发河南省电动汽车充电基础设施建设运营管理暂行办法的通知》（豫政办〔202</w:t>
      </w:r>
      <w:r>
        <w:rPr>
          <w:rFonts w:hint="default" w:ascii="Times New Roman" w:hAnsi="Times New Roman" w:eastAsia="CESI仿宋-GB2312" w:cs="Times New Roman"/>
          <w:bCs/>
          <w:color w:val="auto"/>
          <w:kern w:val="0"/>
          <w:sz w:val="32"/>
          <w:szCs w:val="32"/>
          <w:lang w:val="en-US"/>
        </w:rPr>
        <w:t>5</w:t>
      </w:r>
      <w:r>
        <w:rPr>
          <w:rFonts w:hint="default" w:ascii="Times New Roman" w:hAnsi="Times New Roman" w:eastAsia="CESI仿宋-GB2312" w:cs="Times New Roman"/>
          <w:bCs/>
          <w:color w:val="auto"/>
          <w:kern w:val="0"/>
          <w:sz w:val="32"/>
          <w:szCs w:val="32"/>
        </w:rPr>
        <w:t>〕43号等文件精神，为进一步加快推进</w:t>
      </w:r>
      <w:bookmarkStart w:id="0" w:name="_GoBack"/>
      <w:r>
        <w:rPr>
          <w:rFonts w:hint="default" w:ascii="Times New Roman" w:hAnsi="Times New Roman" w:eastAsia="CESI仿宋-GB2312" w:cs="Times New Roman"/>
          <w:bCs/>
          <w:color w:val="auto"/>
          <w:kern w:val="0"/>
          <w:sz w:val="32"/>
          <w:szCs w:val="32"/>
        </w:rPr>
        <w:t>我市新能源汽车充电基础设施建设，加强充电基础设施建设管理，</w:t>
      </w:r>
      <w:bookmarkEnd w:id="0"/>
      <w:r>
        <w:rPr>
          <w:rFonts w:hint="default" w:ascii="Times New Roman" w:hAnsi="Times New Roman" w:eastAsia="CESI仿宋-GB2312" w:cs="Times New Roman"/>
          <w:bCs/>
          <w:color w:val="auto"/>
          <w:kern w:val="0"/>
          <w:sz w:val="32"/>
          <w:szCs w:val="32"/>
        </w:rPr>
        <w:t>切实推进智慧城市发展、增加公共产品供给、方便人民群众生活，结合我市实际，现制定我市住宅小区新能源汽车充电设施建设实施方案。</w:t>
      </w:r>
    </w:p>
    <w:p>
      <w:pPr>
        <w:widowControl/>
        <w:spacing w:line="560" w:lineRule="exact"/>
        <w:ind w:firstLine="640" w:firstLineChars="200"/>
        <w:jc w:val="left"/>
        <w:outlineLvl w:val="3"/>
        <w:rPr>
          <w:rFonts w:hint="default" w:ascii="Times New Roman" w:hAnsi="Times New Roman" w:eastAsia="CESI黑体-GB2312" w:cs="Times New Roman"/>
          <w:bCs/>
          <w:color w:val="auto"/>
          <w:kern w:val="0"/>
          <w:sz w:val="32"/>
          <w:szCs w:val="32"/>
        </w:rPr>
      </w:pPr>
      <w:r>
        <w:rPr>
          <w:rFonts w:hint="default" w:ascii="Times New Roman" w:hAnsi="Times New Roman" w:eastAsia="CESI黑体-GB2312" w:cs="Times New Roman"/>
          <w:bCs/>
          <w:color w:val="auto"/>
          <w:kern w:val="0"/>
          <w:sz w:val="32"/>
          <w:szCs w:val="32"/>
        </w:rPr>
        <w:t>一、指导思想</w:t>
      </w:r>
    </w:p>
    <w:p>
      <w:pPr>
        <w:widowControl/>
        <w:spacing w:line="560" w:lineRule="exact"/>
        <w:ind w:firstLine="640" w:firstLineChars="200"/>
        <w:jc w:val="left"/>
        <w:rPr>
          <w:rFonts w:hint="default" w:ascii="Times New Roman" w:hAnsi="Times New Roman" w:eastAsia="CESI仿宋-GB2312" w:cs="Times New Roman"/>
          <w:color w:val="auto"/>
          <w:kern w:val="0"/>
          <w:sz w:val="32"/>
          <w:szCs w:val="32"/>
        </w:rPr>
      </w:pPr>
      <w:r>
        <w:rPr>
          <w:rFonts w:hint="default" w:ascii="Times New Roman" w:hAnsi="Times New Roman" w:eastAsia="CESI仿宋-GB2312" w:cs="Times New Roman"/>
          <w:color w:val="auto"/>
          <w:sz w:val="32"/>
        </w:rPr>
        <w:t>以习近平新时代中国特色社会主义思想为指导，深入贯彻党的二十大和历次全会</w:t>
      </w:r>
      <w:r>
        <w:rPr>
          <w:rFonts w:hint="default" w:ascii="Times New Roman" w:hAnsi="Times New Roman" w:eastAsia="CESI仿宋-GB2312" w:cs="Times New Roman"/>
          <w:color w:val="auto"/>
          <w:kern w:val="0"/>
          <w:sz w:val="32"/>
          <w:szCs w:val="32"/>
        </w:rPr>
        <w:t>精神，全面落实新发展理念，坚持以人民为中心的发展思想，按照“科学规划、适度超前、创新融合、安全便捷”的原则，明确充电设施产权人、建设单位、管理运维单位、售后维保单位等各方权责义务，充分调动各类市场主体参与居民小区电动汽车充电设施建设的积极性，持续加大居民住宅小区充电设施建设和改造工作力度，有效缓解电动汽车保有量持续增长和居民小区充电设施无法有效满足实际需求的矛盾。</w:t>
      </w:r>
    </w:p>
    <w:p>
      <w:pPr>
        <w:widowControl/>
        <w:spacing w:line="560" w:lineRule="exact"/>
        <w:ind w:firstLine="640" w:firstLineChars="200"/>
        <w:jc w:val="left"/>
        <w:outlineLvl w:val="3"/>
        <w:rPr>
          <w:rFonts w:hint="default" w:ascii="Times New Roman" w:hAnsi="Times New Roman" w:eastAsia="CESI黑体-GB2312" w:cs="Times New Roman"/>
          <w:bCs/>
          <w:color w:val="auto"/>
          <w:kern w:val="0"/>
          <w:sz w:val="32"/>
          <w:szCs w:val="32"/>
        </w:rPr>
      </w:pPr>
      <w:r>
        <w:rPr>
          <w:rFonts w:hint="default" w:ascii="Times New Roman" w:hAnsi="Times New Roman" w:eastAsia="CESI黑体-GB2312" w:cs="Times New Roman"/>
          <w:bCs/>
          <w:color w:val="auto"/>
          <w:kern w:val="0"/>
          <w:sz w:val="32"/>
          <w:szCs w:val="32"/>
        </w:rPr>
        <w:t>二、工作目标</w:t>
      </w:r>
    </w:p>
    <w:p>
      <w:pPr>
        <w:widowControl/>
        <w:spacing w:line="560" w:lineRule="exact"/>
        <w:ind w:firstLine="640" w:firstLineChars="200"/>
        <w:jc w:val="left"/>
        <w:outlineLvl w:val="3"/>
        <w:rPr>
          <w:rFonts w:hint="default" w:ascii="Times New Roman" w:hAnsi="Times New Roman" w:eastAsia="CESI仿宋-GB2312" w:cs="Times New Roman"/>
          <w:color w:val="auto"/>
          <w:kern w:val="0"/>
          <w:sz w:val="32"/>
          <w:szCs w:val="32"/>
        </w:rPr>
      </w:pPr>
      <w:r>
        <w:rPr>
          <w:rFonts w:hint="default" w:ascii="Times New Roman" w:hAnsi="Times New Roman" w:eastAsia="CESI仿宋-GB2312" w:cs="Times New Roman"/>
          <w:color w:val="auto"/>
          <w:kern w:val="0"/>
          <w:sz w:val="32"/>
          <w:szCs w:val="32"/>
        </w:rPr>
        <w:t>坚持问题导向，重点解决居民小区电动汽车充电设施建设过程中存在的难点堵点问题，进一步规范和促进电动汽车充电设施的建设和管理，推动形成相关职能部门各方职责分工明确、建设流程畅通、运维责任清晰和监管体系健全的工作局面。</w:t>
      </w:r>
    </w:p>
    <w:p>
      <w:pPr>
        <w:widowControl/>
        <w:spacing w:line="560" w:lineRule="exact"/>
        <w:ind w:firstLine="640" w:firstLineChars="200"/>
        <w:jc w:val="left"/>
        <w:outlineLvl w:val="3"/>
        <w:rPr>
          <w:rFonts w:hint="default" w:ascii="Times New Roman" w:hAnsi="Times New Roman" w:eastAsia="CESI黑体-GB2312" w:cs="Times New Roman"/>
          <w:color w:val="auto"/>
          <w:sz w:val="32"/>
        </w:rPr>
      </w:pPr>
      <w:r>
        <w:rPr>
          <w:rFonts w:hint="default" w:ascii="Times New Roman" w:hAnsi="Times New Roman" w:eastAsia="CESI黑体-GB2312" w:cs="Times New Roman"/>
          <w:bCs/>
          <w:color w:val="auto"/>
          <w:kern w:val="0"/>
          <w:sz w:val="32"/>
          <w:szCs w:val="32"/>
        </w:rPr>
        <w:t>三、工作任务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3"/>
        <w:rPr>
          <w:rFonts w:hint="default" w:ascii="Times New Roman" w:hAnsi="Times New Roman" w:eastAsia="CESI仿宋-GB2312" w:cs="Times New Roman"/>
          <w:color w:val="auto"/>
          <w:kern w:val="0"/>
          <w:sz w:val="32"/>
          <w:szCs w:val="32"/>
        </w:rPr>
      </w:pPr>
      <w:r>
        <w:rPr>
          <w:rFonts w:hint="default" w:ascii="Times New Roman" w:hAnsi="Times New Roman" w:eastAsia="CESI楷体-GB2312" w:cs="Times New Roman"/>
          <w:bCs/>
          <w:color w:val="auto"/>
          <w:kern w:val="0"/>
          <w:sz w:val="32"/>
          <w:szCs w:val="32"/>
        </w:rPr>
        <w:t>（一）推进新建居住区停车位充电基础设施建设。</w:t>
      </w:r>
      <w:r>
        <w:rPr>
          <w:rFonts w:hint="default" w:ascii="Times New Roman" w:hAnsi="Times New Roman" w:eastAsia="CESI仿宋-GB2312" w:cs="Times New Roman"/>
          <w:color w:val="auto"/>
          <w:kern w:val="0"/>
          <w:sz w:val="32"/>
          <w:szCs w:val="32"/>
        </w:rPr>
        <w:t>各级住房城乡建设部门和自然资源</w:t>
      </w:r>
      <w:r>
        <w:rPr>
          <w:rFonts w:hint="default" w:ascii="Times New Roman" w:hAnsi="Times New Roman" w:eastAsia="CESI仿宋-GB2312" w:cs="Times New Roman"/>
          <w:color w:val="auto"/>
          <w:kern w:val="0"/>
          <w:sz w:val="32"/>
          <w:szCs w:val="32"/>
          <w:lang w:eastAsia="zh-CN"/>
        </w:rPr>
        <w:t>规划</w:t>
      </w:r>
      <w:r>
        <w:rPr>
          <w:rFonts w:hint="default" w:ascii="Times New Roman" w:hAnsi="Times New Roman" w:eastAsia="CESI仿宋-GB2312" w:cs="Times New Roman"/>
          <w:color w:val="auto"/>
          <w:kern w:val="0"/>
          <w:sz w:val="32"/>
          <w:szCs w:val="32"/>
        </w:rPr>
        <w:t>部门</w:t>
      </w:r>
      <w:r>
        <w:rPr>
          <w:rFonts w:hint="default" w:ascii="Times New Roman" w:hAnsi="Times New Roman" w:eastAsia="CESI仿宋-GB2312" w:cs="Times New Roman"/>
          <w:color w:val="auto"/>
          <w:sz w:val="32"/>
        </w:rPr>
        <w:t>要严格执行国家关于新建住宅固定车位充电基础设施配建和预留安装条件比例要求，确保新建住宅配建停车位100%建设充电设施或预留安装条件，不少于15%的车位与住宅同步建成充电设施，达到同步使用要求。</w:t>
      </w:r>
      <w:r>
        <w:rPr>
          <w:rFonts w:hint="default" w:ascii="Times New Roman" w:hAnsi="Times New Roman" w:eastAsia="CESI仿宋-GB2312" w:cs="Times New Roman"/>
          <w:color w:val="auto"/>
          <w:kern w:val="0"/>
          <w:sz w:val="32"/>
          <w:szCs w:val="32"/>
        </w:rPr>
        <w:t>落实街道办事处、居民委员会等基层管理机构责任，加大对居住社区管理单位的指导和监督，建立充电基础设施建设“一站式”协调推动和投诉解决机制。新建居住区应统一将供电线路敷设到固定停车位或预留敷设条件，并预留电表箱、充电设施安装位置和用电容量。因地制宜制定居住区公共停车位的供电设施建设方案，为充电基础设施建设安装提供便利。</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3"/>
        <w:rPr>
          <w:rFonts w:hint="default" w:ascii="Times New Roman" w:hAnsi="Times New Roman" w:eastAsia="CESI仿宋-GB2312" w:cs="Times New Roman"/>
          <w:color w:val="auto"/>
          <w:kern w:val="0"/>
          <w:sz w:val="32"/>
          <w:szCs w:val="32"/>
          <w:lang w:val="en-US" w:eastAsia="zh-CN"/>
        </w:rPr>
      </w:pPr>
      <w:r>
        <w:rPr>
          <w:rFonts w:hint="default" w:ascii="Times New Roman" w:hAnsi="Times New Roman" w:eastAsia="CESI仿宋-GB2312" w:cs="Times New Roman"/>
          <w:color w:val="auto"/>
          <w:kern w:val="0"/>
          <w:sz w:val="32"/>
          <w:szCs w:val="32"/>
          <w:lang w:val="en-US" w:eastAsia="zh-CN"/>
        </w:rPr>
        <w:t>责任单位：市自然资源规划局、市住房城乡建设局，各县（市、区）人民政府（管委会）</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left"/>
        <w:textAlignment w:val="auto"/>
        <w:outlineLvl w:val="3"/>
        <w:rPr>
          <w:rFonts w:hint="default" w:ascii="Times New Roman" w:hAnsi="Times New Roman" w:eastAsia="CESI仿宋-GB2312" w:cs="Times New Roman"/>
          <w:color w:val="auto"/>
          <w:kern w:val="0"/>
          <w:sz w:val="32"/>
          <w:szCs w:val="32"/>
          <w:lang w:eastAsia="zh-CN"/>
        </w:rPr>
      </w:pPr>
      <w:r>
        <w:rPr>
          <w:rFonts w:hint="default" w:ascii="Times New Roman" w:hAnsi="Times New Roman" w:eastAsia="CESI楷体-GB2312" w:cs="Times New Roman"/>
          <w:bCs/>
          <w:color w:val="auto"/>
          <w:kern w:val="0"/>
          <w:sz w:val="32"/>
          <w:szCs w:val="32"/>
        </w:rPr>
        <w:t>（二）开展既有小区充电设施加装条件综合评价</w:t>
      </w:r>
      <w:r>
        <w:rPr>
          <w:rFonts w:hint="default" w:ascii="Times New Roman" w:hAnsi="Times New Roman" w:eastAsia="CESI楷体-GB2312" w:cs="Times New Roman"/>
          <w:bCs/>
          <w:color w:val="auto"/>
          <w:kern w:val="0"/>
          <w:sz w:val="32"/>
          <w:szCs w:val="32"/>
          <w:lang w:eastAsia="zh-CN"/>
        </w:rPr>
        <w:t>。</w:t>
      </w:r>
      <w:r>
        <w:rPr>
          <w:rFonts w:hint="default" w:ascii="Times New Roman" w:hAnsi="Times New Roman" w:eastAsia="CESI仿宋-GB2312" w:cs="Times New Roman"/>
          <w:color w:val="auto"/>
          <w:kern w:val="0"/>
          <w:sz w:val="32"/>
          <w:szCs w:val="32"/>
        </w:rPr>
        <w:t>按照充电设施安装的供电需求、消防验收条件、技术规范等要求，组织</w:t>
      </w:r>
      <w:r>
        <w:rPr>
          <w:rFonts w:hint="default" w:ascii="Times New Roman" w:hAnsi="Times New Roman" w:eastAsia="CESI仿宋-GB2312" w:cs="Times New Roman"/>
          <w:color w:val="auto"/>
          <w:sz w:val="32"/>
        </w:rPr>
        <w:t>市住房和城乡建设局、市自然资源和规划局、市市场监管局、市消防救援支队、三门峡</w:t>
      </w:r>
      <w:r>
        <w:rPr>
          <w:rFonts w:hint="default" w:ascii="Times New Roman" w:hAnsi="Times New Roman" w:eastAsia="CESI仿宋-GB2312" w:cs="Times New Roman"/>
          <w:color w:val="auto"/>
          <w:sz w:val="32"/>
          <w:lang w:eastAsia="zh-CN"/>
        </w:rPr>
        <w:t>市</w:t>
      </w:r>
      <w:r>
        <w:rPr>
          <w:rFonts w:hint="default" w:ascii="Times New Roman" w:hAnsi="Times New Roman" w:eastAsia="CESI仿宋-GB2312" w:cs="Times New Roman"/>
          <w:color w:val="auto"/>
          <w:sz w:val="32"/>
        </w:rPr>
        <w:t>供电公司等单位指导乡镇（街道）、社区居委会和业委会（或物管会）</w:t>
      </w:r>
      <w:r>
        <w:rPr>
          <w:rFonts w:hint="default" w:ascii="Times New Roman" w:hAnsi="Times New Roman" w:eastAsia="CESI仿宋-GB2312" w:cs="Times New Roman"/>
          <w:color w:val="auto"/>
          <w:kern w:val="0"/>
          <w:sz w:val="32"/>
          <w:szCs w:val="32"/>
        </w:rPr>
        <w:t>对全市居民住宅小区充电设施加装条件进行全面摸底排查，</w:t>
      </w:r>
      <w:r>
        <w:rPr>
          <w:rFonts w:hint="default" w:ascii="Times New Roman" w:hAnsi="Times New Roman" w:eastAsia="CESI仿宋-GB2312" w:cs="Times New Roman"/>
          <w:color w:val="auto"/>
          <w:sz w:val="32"/>
          <w:lang w:eastAsia="zh-CN"/>
        </w:rPr>
        <w:t>要抽调规划、消防、房屋质量监管、电力等方面专家组成专家小组对每个小区逐一检查验收，提出是否符合建设分散式充电桩条件，</w:t>
      </w:r>
      <w:r>
        <w:rPr>
          <w:rFonts w:hint="default" w:ascii="Times New Roman" w:hAnsi="Times New Roman" w:eastAsia="CESI仿宋-GB2312" w:cs="Times New Roman"/>
          <w:color w:val="auto"/>
          <w:kern w:val="0"/>
          <w:sz w:val="32"/>
          <w:szCs w:val="32"/>
          <w:lang w:eastAsia="zh-CN"/>
        </w:rPr>
        <w:t>建立符合安装条件小区和暂不符合安装条件小区两个数据库，实行黑、白名单管理制度</w:t>
      </w:r>
      <w:r>
        <w:rPr>
          <w:rFonts w:hint="default" w:ascii="Times New Roman" w:hAnsi="Times New Roman" w:eastAsia="CESI仿宋-GB2312" w:cs="Times New Roman"/>
          <w:color w:val="auto"/>
          <w:kern w:val="0"/>
          <w:sz w:val="32"/>
          <w:szCs w:val="32"/>
        </w:rPr>
        <w:t>。对符合安装条件的</w:t>
      </w:r>
      <w:r>
        <w:rPr>
          <w:rFonts w:hint="default" w:ascii="Times New Roman" w:hAnsi="Times New Roman" w:eastAsia="CESI仿宋-GB2312" w:cs="Times New Roman"/>
          <w:color w:val="auto"/>
          <w:kern w:val="0"/>
          <w:sz w:val="32"/>
          <w:szCs w:val="32"/>
          <w:lang w:eastAsia="zh-CN"/>
        </w:rPr>
        <w:t>白名单</w:t>
      </w:r>
      <w:r>
        <w:rPr>
          <w:rFonts w:hint="default" w:ascii="Times New Roman" w:hAnsi="Times New Roman" w:eastAsia="CESI仿宋-GB2312" w:cs="Times New Roman"/>
          <w:color w:val="auto"/>
          <w:kern w:val="0"/>
          <w:sz w:val="32"/>
          <w:szCs w:val="32"/>
        </w:rPr>
        <w:t>小区，任何单位和个人不得以任何借口阻挠充电设施安装；对暂不具备安装条件的</w:t>
      </w:r>
      <w:r>
        <w:rPr>
          <w:rFonts w:hint="default" w:ascii="Times New Roman" w:hAnsi="Times New Roman" w:eastAsia="CESI仿宋-GB2312" w:cs="Times New Roman"/>
          <w:color w:val="auto"/>
          <w:kern w:val="0"/>
          <w:sz w:val="32"/>
          <w:szCs w:val="32"/>
          <w:lang w:eastAsia="zh-CN"/>
        </w:rPr>
        <w:t>黑名单</w:t>
      </w:r>
      <w:r>
        <w:rPr>
          <w:rFonts w:hint="default" w:ascii="Times New Roman" w:hAnsi="Times New Roman" w:eastAsia="CESI仿宋-GB2312" w:cs="Times New Roman"/>
          <w:color w:val="auto"/>
          <w:kern w:val="0"/>
          <w:sz w:val="32"/>
          <w:szCs w:val="32"/>
        </w:rPr>
        <w:t>小区</w:t>
      </w:r>
      <w:r>
        <w:rPr>
          <w:rFonts w:hint="default" w:ascii="Times New Roman" w:hAnsi="Times New Roman" w:eastAsia="CESI仿宋-GB2312" w:cs="Times New Roman"/>
          <w:color w:val="auto"/>
          <w:kern w:val="0"/>
          <w:sz w:val="32"/>
          <w:szCs w:val="32"/>
          <w:highlight w:val="none"/>
        </w:rPr>
        <w:t>，由</w:t>
      </w:r>
      <w:r>
        <w:rPr>
          <w:rFonts w:hint="default" w:ascii="Times New Roman" w:hAnsi="Times New Roman" w:eastAsia="CESI仿宋-GB2312" w:cs="Times New Roman"/>
          <w:color w:val="auto"/>
          <w:kern w:val="0"/>
          <w:sz w:val="32"/>
          <w:szCs w:val="32"/>
          <w:highlight w:val="none"/>
          <w:lang w:eastAsia="zh-CN"/>
        </w:rPr>
        <w:t>消防部门联合住建、电力、属地街道等</w:t>
      </w:r>
      <w:r>
        <w:rPr>
          <w:rFonts w:hint="default" w:ascii="Times New Roman" w:hAnsi="Times New Roman" w:eastAsia="CESI仿宋-GB2312" w:cs="Times New Roman"/>
          <w:color w:val="auto"/>
          <w:kern w:val="0"/>
          <w:sz w:val="32"/>
          <w:szCs w:val="32"/>
          <w:highlight w:val="none"/>
        </w:rPr>
        <w:t>部门根据不符合安装的具体情况提出优化意见，由小区业主自治组织和物业管理单位组织</w:t>
      </w:r>
      <w:r>
        <w:rPr>
          <w:rFonts w:hint="default" w:ascii="Times New Roman" w:hAnsi="Times New Roman" w:eastAsia="CESI仿宋-GB2312" w:cs="Times New Roman"/>
          <w:color w:val="auto"/>
          <w:sz w:val="32"/>
          <w:highlight w:val="none"/>
        </w:rPr>
        <w:t>进行整治</w:t>
      </w:r>
      <w:r>
        <w:rPr>
          <w:rFonts w:hint="default" w:ascii="Times New Roman" w:hAnsi="Times New Roman" w:eastAsia="CESI仿宋-GB2312" w:cs="Times New Roman"/>
          <w:color w:val="auto"/>
          <w:sz w:val="32"/>
          <w:highlight w:val="none"/>
          <w:lang w:eastAsia="zh-CN"/>
        </w:rPr>
        <w:t>达标后列为白名单小区</w:t>
      </w:r>
      <w:r>
        <w:rPr>
          <w:rFonts w:hint="default" w:ascii="Times New Roman" w:hAnsi="Times New Roman" w:eastAsia="CESI仿宋-GB2312" w:cs="Times New Roman"/>
          <w:color w:val="auto"/>
          <w:sz w:val="32"/>
          <w:highlight w:val="none"/>
        </w:rPr>
        <w:t>。符合安装条件的小区须达到住建部GB/T51</w:t>
      </w:r>
      <w:r>
        <w:rPr>
          <w:rFonts w:hint="default" w:ascii="Times New Roman" w:hAnsi="Times New Roman" w:eastAsia="CESI仿宋-GB2312" w:cs="Times New Roman"/>
          <w:color w:val="auto"/>
          <w:sz w:val="32"/>
        </w:rPr>
        <w:t>313-2018《电动汽车分散充电设施工程技术标准》对分散充电设施的选址、布置、消防系统配置的规定</w:t>
      </w:r>
      <w:r>
        <w:rPr>
          <w:rFonts w:hint="default" w:ascii="Times New Roman" w:hAnsi="Times New Roman" w:eastAsia="CESI仿宋-GB2312" w:cs="Times New Roman"/>
          <w:color w:val="auto"/>
          <w:sz w:val="32"/>
          <w:lang w:eastAsia="zh-CN"/>
        </w:rPr>
        <w:t>，</w:t>
      </w:r>
      <w:r>
        <w:rPr>
          <w:rFonts w:hint="default" w:ascii="Times New Roman" w:hAnsi="Times New Roman" w:eastAsia="CESI仿宋-GB2312" w:cs="Times New Roman"/>
          <w:color w:val="auto"/>
          <w:sz w:val="32"/>
        </w:rPr>
        <w:t>需具备火灾自动报警、排烟、自动喷水灭火、应急照明和疏散指示标志等。对于竣工于国家标准GB/T51313-2018《电动汽车分散充电设施工程技术标准》实施之前的既有建筑，建筑内地下停车库防火分区大于1000平方米，但能满足该标准其他条款，且满足GB50067—97《汽车库、修车库、停车场防火规范》等停车库其他相关标准要求时，可安装分散式</w:t>
      </w:r>
      <w:r>
        <w:rPr>
          <w:rFonts w:hint="default" w:ascii="Times New Roman" w:hAnsi="Times New Roman" w:eastAsia="CESI仿宋-GB2312" w:cs="Times New Roman"/>
          <w:color w:val="auto"/>
          <w:kern w:val="0"/>
          <w:sz w:val="32"/>
          <w:szCs w:val="32"/>
        </w:rPr>
        <w:t>充电设施</w:t>
      </w:r>
      <w:r>
        <w:rPr>
          <w:rFonts w:hint="default" w:ascii="Times New Roman" w:hAnsi="Times New Roman" w:eastAsia="CESI仿宋-GB2312" w:cs="Times New Roman"/>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3"/>
        <w:rPr>
          <w:rFonts w:hint="default" w:ascii="Times New Roman" w:hAnsi="Times New Roman" w:eastAsia="CESI仿宋-GB2312" w:cs="Times New Roman"/>
          <w:color w:val="auto"/>
          <w:kern w:val="0"/>
          <w:sz w:val="32"/>
          <w:szCs w:val="32"/>
          <w:lang w:val="en-US" w:eastAsia="zh-CN"/>
        </w:rPr>
      </w:pPr>
      <w:r>
        <w:rPr>
          <w:rFonts w:hint="default" w:ascii="Times New Roman" w:hAnsi="Times New Roman" w:eastAsia="CESI仿宋-GB2312" w:cs="Times New Roman"/>
          <w:color w:val="auto"/>
          <w:kern w:val="0"/>
          <w:sz w:val="32"/>
          <w:szCs w:val="32"/>
          <w:lang w:val="en-US" w:eastAsia="zh-CN"/>
        </w:rPr>
        <w:t>责任单位：市住房城乡建设局、市自然资源规划局、市市场监督管理局、市消防救援支队、市供电公司，各县（市、区）人民政府（管委会）</w:t>
      </w:r>
    </w:p>
    <w:p>
      <w:pPr>
        <w:widowControl/>
        <w:spacing w:line="560" w:lineRule="exact"/>
        <w:ind w:firstLine="640" w:firstLineChars="200"/>
        <w:jc w:val="left"/>
        <w:outlineLvl w:val="4"/>
        <w:rPr>
          <w:rFonts w:hint="default" w:ascii="Times New Roman" w:hAnsi="Times New Roman" w:eastAsia="CESI仿宋-GB2312" w:cs="Times New Roman"/>
          <w:color w:val="auto"/>
          <w:sz w:val="32"/>
        </w:rPr>
      </w:pPr>
      <w:r>
        <w:rPr>
          <w:rFonts w:hint="default" w:ascii="Times New Roman" w:hAnsi="Times New Roman" w:eastAsia="CESI楷体-GB2312" w:cs="Times New Roman"/>
          <w:color w:val="auto"/>
          <w:sz w:val="32"/>
        </w:rPr>
        <w:t>（三</w:t>
      </w:r>
      <w:r>
        <w:rPr>
          <w:rFonts w:hint="default" w:ascii="Times New Roman" w:hAnsi="Times New Roman" w:eastAsia="CESI楷体-GB2312" w:cs="Times New Roman"/>
          <w:bCs/>
          <w:color w:val="auto"/>
          <w:kern w:val="0"/>
          <w:sz w:val="32"/>
          <w:szCs w:val="32"/>
        </w:rPr>
        <w:t>）规范既有居民小区自用充电设施加装流程</w:t>
      </w:r>
      <w:r>
        <w:rPr>
          <w:rFonts w:hint="default" w:ascii="Times New Roman" w:hAnsi="Times New Roman" w:eastAsia="CESI楷体-GB2312" w:cs="Times New Roman"/>
          <w:bCs/>
          <w:color w:val="auto"/>
          <w:kern w:val="0"/>
          <w:sz w:val="32"/>
          <w:szCs w:val="32"/>
          <w:lang w:eastAsia="zh-CN"/>
        </w:rPr>
        <w:t>。</w:t>
      </w:r>
      <w:r>
        <w:rPr>
          <w:rFonts w:hint="default" w:ascii="Times New Roman" w:hAnsi="Times New Roman" w:eastAsia="CESI仿宋-GB2312" w:cs="Times New Roman"/>
          <w:color w:val="auto"/>
          <w:sz w:val="32"/>
        </w:rPr>
        <w:t>对符合安装条件的小区，自用充电基础设施建设无需办理备案手续，可直接向电网企业和转供电企业申请报装，电网企业和转供电企业要推行“即报即装”，定期汇总报装和使用数据并反馈至县（市区）充电基础设施主管部门。</w:t>
      </w:r>
      <w:r>
        <w:rPr>
          <w:rFonts w:hint="default" w:ascii="Times New Roman" w:hAnsi="Times New Roman" w:eastAsia="CESI仿宋-GB2312" w:cs="Times New Roman"/>
          <w:color w:val="auto"/>
          <w:sz w:val="32"/>
          <w:szCs w:val="32"/>
          <w:lang w:val="en-US" w:eastAsia="zh-CN"/>
        </w:rPr>
        <w:t>供电公司直供的小区</w:t>
      </w:r>
      <w:r>
        <w:rPr>
          <w:rFonts w:hint="default" w:ascii="Times New Roman" w:hAnsi="Times New Roman" w:eastAsia="CESI仿宋-GB2312" w:cs="Times New Roman"/>
          <w:color w:val="auto"/>
          <w:kern w:val="0"/>
          <w:sz w:val="32"/>
          <w:szCs w:val="32"/>
        </w:rPr>
        <w:t>，由加装充电设施所有权人或其委托的经办人（充电设施运营企业、物业服务企业等）向所在区域供电企业提出申请，实行“一车一位一表”；</w:t>
      </w:r>
      <w:r>
        <w:rPr>
          <w:rFonts w:hint="default" w:ascii="Times New Roman" w:hAnsi="Times New Roman" w:eastAsia="CESI仿宋-GB2312" w:cs="Times New Roman"/>
          <w:color w:val="auto"/>
          <w:sz w:val="32"/>
          <w:szCs w:val="32"/>
          <w:lang w:val="en-US" w:eastAsia="zh-CN"/>
        </w:rPr>
        <w:t>开发商（物业服务企业）转供的小区</w:t>
      </w:r>
      <w:r>
        <w:rPr>
          <w:rFonts w:hint="default" w:ascii="Times New Roman" w:hAnsi="Times New Roman" w:eastAsia="CESI仿宋-GB2312" w:cs="Times New Roman"/>
          <w:color w:val="auto"/>
          <w:kern w:val="0"/>
          <w:sz w:val="32"/>
          <w:szCs w:val="32"/>
        </w:rPr>
        <w:t>，由充电设施所有权人向变压器产权单位</w:t>
      </w:r>
      <w:r>
        <w:rPr>
          <w:rFonts w:hint="default" w:ascii="Times New Roman" w:hAnsi="Times New Roman" w:eastAsia="CESI仿宋-GB2312" w:cs="Times New Roman"/>
          <w:color w:val="auto"/>
          <w:kern w:val="0"/>
          <w:sz w:val="32"/>
          <w:szCs w:val="32"/>
          <w:lang w:eastAsia="zh-CN"/>
        </w:rPr>
        <w:t>（</w:t>
      </w:r>
      <w:r>
        <w:rPr>
          <w:rFonts w:hint="default" w:ascii="Times New Roman" w:hAnsi="Times New Roman" w:eastAsia="CESI仿宋-GB2312" w:cs="Times New Roman"/>
          <w:color w:val="auto"/>
          <w:sz w:val="32"/>
          <w:szCs w:val="32"/>
          <w:lang w:val="en-US" w:eastAsia="zh-CN"/>
        </w:rPr>
        <w:t>开发商或物业服务企业</w:t>
      </w:r>
      <w:r>
        <w:rPr>
          <w:rFonts w:hint="default" w:ascii="Times New Roman" w:hAnsi="Times New Roman" w:eastAsia="CESI仿宋-GB2312" w:cs="Times New Roman"/>
          <w:color w:val="auto"/>
          <w:kern w:val="0"/>
          <w:sz w:val="32"/>
          <w:szCs w:val="32"/>
          <w:lang w:eastAsia="zh-CN"/>
        </w:rPr>
        <w:t>）</w:t>
      </w:r>
      <w:r>
        <w:rPr>
          <w:rFonts w:hint="default" w:ascii="Times New Roman" w:hAnsi="Times New Roman" w:eastAsia="CESI仿宋-GB2312" w:cs="Times New Roman"/>
          <w:color w:val="auto"/>
          <w:kern w:val="0"/>
          <w:sz w:val="32"/>
          <w:szCs w:val="32"/>
        </w:rPr>
        <w:t>提出充电设施用电需求，通过产权单位变压器供电。</w:t>
      </w:r>
      <w:r>
        <w:rPr>
          <w:rFonts w:hint="default" w:ascii="Times New Roman" w:hAnsi="Times New Roman" w:eastAsia="CESI仿宋-GB2312" w:cs="Times New Roman"/>
          <w:color w:val="auto"/>
          <w:sz w:val="32"/>
        </w:rPr>
        <w:t>自用充电基础设施单桩最大输出功率不宜超过8千瓦。</w:t>
      </w:r>
    </w:p>
    <w:p>
      <w:pPr>
        <w:widowControl/>
        <w:spacing w:line="560" w:lineRule="exact"/>
        <w:ind w:firstLine="640" w:firstLineChars="200"/>
        <w:jc w:val="left"/>
        <w:outlineLvl w:val="4"/>
        <w:rPr>
          <w:rFonts w:hint="default" w:ascii="Times New Roman" w:hAnsi="Times New Roman" w:eastAsia="CESI仿宋-GB2312" w:cs="Times New Roman"/>
          <w:color w:val="auto"/>
          <w:kern w:val="0"/>
          <w:sz w:val="32"/>
          <w:szCs w:val="32"/>
          <w:lang w:val="en-US" w:eastAsia="zh-CN"/>
        </w:rPr>
      </w:pPr>
      <w:r>
        <w:rPr>
          <w:rFonts w:hint="default" w:ascii="Times New Roman" w:hAnsi="Times New Roman" w:eastAsia="CESI仿宋-GB2312" w:cs="Times New Roman"/>
          <w:color w:val="auto"/>
          <w:sz w:val="32"/>
          <w:lang w:eastAsia="zh-CN"/>
        </w:rPr>
        <w:t>牵头单位：</w:t>
      </w:r>
      <w:r>
        <w:rPr>
          <w:rFonts w:hint="default" w:ascii="Times New Roman" w:hAnsi="Times New Roman" w:eastAsia="CESI仿宋-GB2312" w:cs="Times New Roman"/>
          <w:color w:val="auto"/>
          <w:kern w:val="0"/>
          <w:sz w:val="32"/>
          <w:szCs w:val="32"/>
          <w:lang w:val="en-US" w:eastAsia="zh-CN"/>
        </w:rPr>
        <w:t>市发改委</w:t>
      </w:r>
      <w:r>
        <w:rPr>
          <w:rFonts w:hint="default" w:ascii="Times New Roman" w:hAnsi="Times New Roman" w:eastAsia="CESI仿宋-GB2312" w:cs="Times New Roman"/>
          <w:color w:val="auto"/>
          <w:sz w:val="32"/>
          <w:lang w:eastAsia="zh-CN"/>
        </w:rPr>
        <w:t>、市供电公司、市住房城乡建设局</w:t>
      </w:r>
      <w:r>
        <w:rPr>
          <w:rFonts w:hint="default" w:ascii="Times New Roman" w:hAnsi="Times New Roman" w:eastAsia="CESI仿宋-GB2312" w:cs="Times New Roman"/>
          <w:color w:val="auto"/>
          <w:kern w:val="0"/>
          <w:sz w:val="32"/>
          <w:szCs w:val="32"/>
          <w:lang w:val="en-US" w:eastAsia="zh-CN"/>
        </w:rPr>
        <w:t>、市消防救援支队，各县（市、区）人民政府（管委会）</w:t>
      </w:r>
    </w:p>
    <w:p>
      <w:pPr>
        <w:keepNext w:val="0"/>
        <w:keepLines w:val="0"/>
        <w:pageBreakBefore w:val="0"/>
        <w:kinsoku/>
        <w:wordWrap/>
        <w:overflowPunct/>
        <w:topLinePunct w:val="0"/>
        <w:autoSpaceDE/>
        <w:autoSpaceDN/>
        <w:bidi w:val="0"/>
        <w:adjustRightInd/>
        <w:snapToGrid/>
        <w:spacing w:line="600" w:lineRule="exact"/>
        <w:ind w:firstLine="640" w:firstLineChars="200"/>
        <w:rPr>
          <w:rFonts w:hint="default" w:ascii="Times New Roman" w:hAnsi="Times New Roman" w:eastAsia="CESI仿宋-GB2312" w:cs="Times New Roman"/>
          <w:color w:val="auto"/>
          <w:sz w:val="32"/>
          <w:lang w:eastAsia="zh-CN"/>
        </w:rPr>
      </w:pPr>
      <w:r>
        <w:rPr>
          <w:rFonts w:hint="default" w:ascii="Times New Roman" w:hAnsi="Times New Roman" w:eastAsia="CESI楷体-GB2312" w:cs="Times New Roman"/>
          <w:bCs/>
          <w:color w:val="auto"/>
          <w:kern w:val="0"/>
          <w:sz w:val="32"/>
          <w:szCs w:val="32"/>
          <w:lang w:eastAsia="zh-CN"/>
        </w:rPr>
        <w:t>（四）鼓励支持居住区规模化增设充电基础设施并实行“统建统管、有序充电”。</w:t>
      </w:r>
      <w:r>
        <w:rPr>
          <w:rFonts w:hint="default" w:ascii="Times New Roman" w:hAnsi="Times New Roman" w:eastAsia="CESI仿宋-GB2312" w:cs="Times New Roman"/>
          <w:color w:val="auto"/>
          <w:sz w:val="32"/>
          <w:lang w:eastAsia="zh-CN"/>
        </w:rPr>
        <w:t>鼓励充电基础设施建设企业按照统一标准，在居住区内建设运营能够实时接收并响应上级负荷调控指令，实现错峰和智慧有序充电的充电基础设施。充电基础设施建设企业和产权人不得侵害第三者权益。充电基础设施建设不得影响消防车通行、登高作业和人员疏散逃生通道，不得妨碍公共安全。在人防工程中安装的充电基础设施不得影响战时防护功能。</w:t>
      </w:r>
    </w:p>
    <w:p>
      <w:pPr>
        <w:widowControl/>
        <w:spacing w:line="560" w:lineRule="exact"/>
        <w:ind w:firstLine="640" w:firstLineChars="200"/>
        <w:jc w:val="left"/>
        <w:outlineLvl w:val="4"/>
        <w:rPr>
          <w:rFonts w:hint="default" w:ascii="Times New Roman" w:hAnsi="Times New Roman" w:eastAsia="CESI仿宋-GB2312" w:cs="Times New Roman"/>
          <w:color w:val="auto"/>
          <w:kern w:val="0"/>
          <w:sz w:val="32"/>
          <w:szCs w:val="32"/>
          <w:lang w:val="en-US" w:eastAsia="zh-CN"/>
        </w:rPr>
      </w:pPr>
      <w:r>
        <w:rPr>
          <w:rFonts w:hint="default" w:ascii="Times New Roman" w:hAnsi="Times New Roman" w:eastAsia="CESI仿宋-GB2312" w:cs="Times New Roman"/>
          <w:color w:val="auto"/>
          <w:kern w:val="0"/>
          <w:sz w:val="32"/>
          <w:szCs w:val="32"/>
          <w:lang w:val="en-US" w:eastAsia="zh-CN"/>
        </w:rPr>
        <w:t>责任单位：</w:t>
      </w:r>
      <w:r>
        <w:rPr>
          <w:rFonts w:hint="default" w:ascii="Times New Roman" w:hAnsi="Times New Roman" w:eastAsia="CESI仿宋-GB2312" w:cs="Times New Roman"/>
          <w:color w:val="auto"/>
          <w:sz w:val="32"/>
          <w:lang w:eastAsia="zh-CN"/>
        </w:rPr>
        <w:t>市发改委、市供电公司、</w:t>
      </w:r>
      <w:r>
        <w:rPr>
          <w:rFonts w:hint="default" w:ascii="Times New Roman" w:hAnsi="Times New Roman" w:eastAsia="CESI仿宋-GB2312" w:cs="Times New Roman"/>
          <w:color w:val="auto"/>
          <w:sz w:val="32"/>
          <w:lang w:val="en-US" w:eastAsia="zh-CN"/>
        </w:rPr>
        <w:t>市住房城乡建设局，</w:t>
      </w:r>
      <w:r>
        <w:rPr>
          <w:rFonts w:hint="default" w:ascii="Times New Roman" w:hAnsi="Times New Roman" w:eastAsia="CESI仿宋-GB2312" w:cs="Times New Roman"/>
          <w:color w:val="auto"/>
          <w:kern w:val="0"/>
          <w:sz w:val="32"/>
          <w:szCs w:val="32"/>
          <w:lang w:val="en-US" w:eastAsia="zh-CN"/>
        </w:rPr>
        <w:t>各县（市、区）人民政府（管委会）</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rPr>
          <w:rFonts w:hint="default" w:ascii="Times New Roman" w:hAnsi="Times New Roman" w:eastAsia="CESI仿宋-GB2312" w:cs="Times New Roman"/>
          <w:color w:val="auto"/>
          <w:kern w:val="0"/>
          <w:sz w:val="32"/>
          <w:szCs w:val="32"/>
        </w:rPr>
      </w:pPr>
      <w:r>
        <w:rPr>
          <w:rFonts w:hint="default" w:ascii="Times New Roman" w:hAnsi="Times New Roman" w:eastAsia="CESI楷体-GB2312" w:cs="Times New Roman"/>
          <w:color w:val="auto"/>
          <w:sz w:val="32"/>
        </w:rPr>
        <w:t>（五</w:t>
      </w:r>
      <w:r>
        <w:rPr>
          <w:rFonts w:hint="default" w:ascii="Times New Roman" w:hAnsi="Times New Roman" w:eastAsia="CESI楷体-GB2312" w:cs="Times New Roman"/>
          <w:bCs/>
          <w:color w:val="auto"/>
          <w:kern w:val="0"/>
          <w:sz w:val="32"/>
          <w:szCs w:val="32"/>
        </w:rPr>
        <w:t>）规范居民小区充电设施建设和服务收费行为</w:t>
      </w:r>
      <w:r>
        <w:rPr>
          <w:rFonts w:hint="default" w:ascii="Times New Roman" w:hAnsi="Times New Roman" w:eastAsia="CESI楷体-GB2312" w:cs="Times New Roman"/>
          <w:bCs/>
          <w:color w:val="auto"/>
          <w:kern w:val="0"/>
          <w:sz w:val="32"/>
          <w:szCs w:val="32"/>
          <w:lang w:eastAsia="zh-CN"/>
        </w:rPr>
        <w:t>。</w:t>
      </w:r>
      <w:r>
        <w:rPr>
          <w:rFonts w:hint="default" w:ascii="Times New Roman" w:hAnsi="Times New Roman" w:eastAsia="CESI仿宋-GB2312" w:cs="Times New Roman"/>
          <w:color w:val="auto"/>
          <w:kern w:val="0"/>
          <w:sz w:val="32"/>
          <w:szCs w:val="32"/>
        </w:rPr>
        <w:t>严肃整治私设项目收费行为，对使用公共变压器的居民小区，业主在个人自有停车库（位）建设充电设施的，实行“一桩一表”、分表计量，物业服务企业不得收取报装费、增容费、涉电安全费等与用电有关的费用；对使用专用变压器的居民小区，专用变压器产权人和物业服务企业不得收取无实质服务内容的涉电费用。对于在居民小区安装的公共充电设施，充电服务收费标准应在服务场所显著位置进行公示。</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rPr>
          <w:rFonts w:hint="default" w:ascii="Times New Roman" w:hAnsi="Times New Roman" w:eastAsia="CESI仿宋-GB2312" w:cs="Times New Roman"/>
          <w:color w:val="auto"/>
          <w:kern w:val="0"/>
          <w:sz w:val="32"/>
          <w:szCs w:val="32"/>
          <w:lang w:eastAsia="zh-CN"/>
        </w:rPr>
      </w:pPr>
      <w:r>
        <w:rPr>
          <w:rFonts w:hint="default" w:ascii="Times New Roman" w:hAnsi="Times New Roman" w:eastAsia="CESI仿宋-GB2312" w:cs="Times New Roman"/>
          <w:color w:val="auto"/>
          <w:kern w:val="0"/>
          <w:sz w:val="32"/>
          <w:szCs w:val="32"/>
          <w:lang w:eastAsia="zh-CN"/>
        </w:rPr>
        <w:t>责任单位：市发改委、市市场监督管理局，</w:t>
      </w:r>
      <w:r>
        <w:rPr>
          <w:rFonts w:hint="default" w:ascii="Times New Roman" w:hAnsi="Times New Roman" w:eastAsia="CESI仿宋-GB2312" w:cs="Times New Roman"/>
          <w:color w:val="auto"/>
          <w:kern w:val="0"/>
          <w:sz w:val="32"/>
          <w:szCs w:val="32"/>
          <w:lang w:val="en-US" w:eastAsia="zh-CN"/>
        </w:rPr>
        <w:t>各县（市、区）人民政府（管委会）</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rPr>
          <w:rFonts w:hint="default" w:ascii="Times New Roman" w:hAnsi="Times New Roman" w:eastAsia="CESI仿宋-GB2312" w:cs="Times New Roman"/>
          <w:color w:val="auto"/>
          <w:kern w:val="0"/>
          <w:sz w:val="32"/>
          <w:szCs w:val="32"/>
        </w:rPr>
      </w:pPr>
      <w:r>
        <w:rPr>
          <w:rFonts w:hint="default" w:ascii="Times New Roman" w:hAnsi="Times New Roman" w:eastAsia="CESI楷体-GB2312" w:cs="Times New Roman"/>
          <w:color w:val="auto"/>
          <w:sz w:val="32"/>
        </w:rPr>
        <w:t>（六）加强居民小区充电设施建设过程管理</w:t>
      </w:r>
      <w:r>
        <w:rPr>
          <w:rFonts w:hint="default" w:ascii="Times New Roman" w:hAnsi="Times New Roman" w:eastAsia="CESI楷体-GB2312" w:cs="Times New Roman"/>
          <w:color w:val="auto"/>
          <w:sz w:val="32"/>
          <w:lang w:eastAsia="zh-CN"/>
        </w:rPr>
        <w:t>。</w:t>
      </w:r>
      <w:r>
        <w:rPr>
          <w:rFonts w:hint="default" w:ascii="Times New Roman" w:hAnsi="Times New Roman" w:eastAsia="CESI仿宋-GB2312" w:cs="Times New Roman"/>
          <w:color w:val="auto"/>
          <w:kern w:val="0"/>
          <w:sz w:val="32"/>
          <w:szCs w:val="32"/>
        </w:rPr>
        <w:t>在符合建设安装条件的居民小区自有（自用）停车库（位）建设电动汽车充电设施的，无需办理规划、施工和投资备案等手续，建设完成经</w:t>
      </w:r>
      <w:r>
        <w:rPr>
          <w:rFonts w:hint="default" w:ascii="Times New Roman" w:hAnsi="Times New Roman" w:eastAsia="CESI仿宋-GB2312" w:cs="Times New Roman"/>
          <w:color w:val="auto"/>
          <w:sz w:val="32"/>
          <w:szCs w:val="32"/>
          <w:lang w:val="en-US" w:eastAsia="zh-CN"/>
        </w:rPr>
        <w:t>市场监管部门</w:t>
      </w:r>
      <w:r>
        <w:rPr>
          <w:rFonts w:hint="default" w:ascii="Times New Roman" w:hAnsi="Times New Roman" w:eastAsia="CESI仿宋-GB2312" w:cs="Times New Roman"/>
          <w:color w:val="auto"/>
          <w:kern w:val="0"/>
          <w:sz w:val="32"/>
          <w:szCs w:val="32"/>
        </w:rPr>
        <w:t>检定合格后方可投入使用。建设安装企业在施工过程中要严格遵守《电力建设安全施工管理规定》和有关充电设施建设技术标准，做好安全防范措施；物业服务企业要积极配合充电设施所有人、充电设施提供方和安装企业开展充电设施建设工作，应及时配合提供相关图纸或指认停车区域内电源位置及暗埋管线走向，配合勘查现场、施工和办理用电变更等手续</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left"/>
        <w:rPr>
          <w:rFonts w:hint="default" w:ascii="Times New Roman" w:hAnsi="Times New Roman" w:eastAsia="CESI仿宋-GB2312" w:cs="Times New Roman"/>
          <w:color w:val="auto"/>
          <w:kern w:val="0"/>
          <w:sz w:val="32"/>
          <w:szCs w:val="32"/>
          <w:lang w:eastAsia="zh-CN"/>
        </w:rPr>
      </w:pPr>
      <w:r>
        <w:rPr>
          <w:rFonts w:hint="default" w:ascii="Times New Roman" w:hAnsi="Times New Roman" w:eastAsia="CESI仿宋-GB2312" w:cs="Times New Roman"/>
          <w:color w:val="auto"/>
          <w:kern w:val="0"/>
          <w:sz w:val="32"/>
          <w:szCs w:val="32"/>
          <w:lang w:eastAsia="zh-CN"/>
        </w:rPr>
        <w:t>责任单位：市市场监督管理局、市住房城乡建设局、市供电公司，</w:t>
      </w:r>
      <w:r>
        <w:rPr>
          <w:rFonts w:hint="default" w:ascii="Times New Roman" w:hAnsi="Times New Roman" w:eastAsia="CESI仿宋-GB2312" w:cs="Times New Roman"/>
          <w:color w:val="auto"/>
          <w:kern w:val="0"/>
          <w:sz w:val="32"/>
          <w:szCs w:val="32"/>
          <w:lang w:val="en-US" w:eastAsia="zh-CN"/>
        </w:rPr>
        <w:t>各县（市、区）人民政府（管委会）</w:t>
      </w:r>
    </w:p>
    <w:p>
      <w:pPr>
        <w:widowControl/>
        <w:spacing w:line="560" w:lineRule="exact"/>
        <w:ind w:firstLine="640" w:firstLineChars="200"/>
        <w:jc w:val="left"/>
        <w:outlineLvl w:val="4"/>
        <w:rPr>
          <w:rFonts w:hint="default" w:ascii="Times New Roman" w:hAnsi="Times New Roman" w:eastAsia="CESI仿宋-GB2312" w:cs="Times New Roman"/>
          <w:color w:val="auto"/>
          <w:sz w:val="32"/>
        </w:rPr>
      </w:pPr>
      <w:r>
        <w:rPr>
          <w:rFonts w:hint="default" w:ascii="Times New Roman" w:hAnsi="Times New Roman" w:eastAsia="CESI楷体-GB2312" w:cs="Times New Roman"/>
          <w:color w:val="auto"/>
          <w:sz w:val="32"/>
        </w:rPr>
        <w:t>（七</w:t>
      </w:r>
      <w:r>
        <w:rPr>
          <w:rFonts w:hint="default" w:ascii="Times New Roman" w:hAnsi="Times New Roman" w:eastAsia="CESI楷体-GB2312" w:cs="Times New Roman"/>
          <w:bCs/>
          <w:color w:val="auto"/>
          <w:kern w:val="0"/>
          <w:sz w:val="32"/>
          <w:szCs w:val="32"/>
        </w:rPr>
        <w:t>）明确充电基础设施维护保养责任</w:t>
      </w:r>
      <w:r>
        <w:rPr>
          <w:rFonts w:hint="default" w:ascii="Times New Roman" w:hAnsi="Times New Roman" w:eastAsia="CESI楷体-GB2312" w:cs="Times New Roman"/>
          <w:bCs/>
          <w:color w:val="auto"/>
          <w:kern w:val="0"/>
          <w:sz w:val="32"/>
          <w:szCs w:val="32"/>
          <w:lang w:eastAsia="zh-CN"/>
        </w:rPr>
        <w:t>。</w:t>
      </w:r>
      <w:r>
        <w:rPr>
          <w:rFonts w:hint="default" w:ascii="Times New Roman" w:hAnsi="Times New Roman" w:eastAsia="CESI仿宋-GB2312" w:cs="Times New Roman"/>
          <w:color w:val="auto"/>
          <w:sz w:val="32"/>
        </w:rPr>
        <w:t>新建居民小区规划的电动汽车充电基础设施，实际使用人为充电设施及相关线路安全第一责任人，委托物业服务企业管理的，按照合同约定提供服务的物业服务企业为责人。</w:t>
      </w:r>
      <w:r>
        <w:rPr>
          <w:rFonts w:hint="default" w:ascii="Times New Roman" w:hAnsi="Times New Roman" w:eastAsia="CESI仿宋-GB2312" w:cs="Times New Roman"/>
          <w:color w:val="auto"/>
          <w:kern w:val="0"/>
          <w:sz w:val="32"/>
          <w:szCs w:val="32"/>
        </w:rPr>
        <w:t>既有居民小区加装电动汽车充电设施的，充电设施所有权人为充电设施的安全第一责任人，承担安全管理主体责任，负责充电设施的日常安全维护、保养和隐患排查、整改。充电设施建设运营企业在居民小区开展充电设施建设的，应当选用具备通讯传输、有序充电、远程监测等功能的智能化充电设施，定期开展充电设施运营、使用情况安全巡查，保存巡查记录。居民小区物业服务企业应当加强充电设施周边环境的日常巡查，发现安全隐患时，应当立即设置警示标识并通知、督促充电设施所有权人及时维修或者整改。</w:t>
      </w:r>
      <w:r>
        <w:rPr>
          <w:rFonts w:hint="default" w:ascii="Times New Roman" w:hAnsi="Times New Roman" w:eastAsia="CESI仿宋-GB2312" w:cs="Times New Roman"/>
          <w:color w:val="auto"/>
          <w:sz w:val="32"/>
        </w:rPr>
        <w:t>鼓励充电基础设施运营企业和产权人为充电基础设施投保相关责任保险。</w:t>
      </w:r>
    </w:p>
    <w:p>
      <w:pPr>
        <w:widowControl/>
        <w:spacing w:line="560" w:lineRule="exact"/>
        <w:ind w:firstLine="640" w:firstLineChars="200"/>
        <w:jc w:val="left"/>
        <w:outlineLvl w:val="4"/>
        <w:rPr>
          <w:rFonts w:hint="default" w:ascii="Times New Roman" w:hAnsi="Times New Roman" w:eastAsia="CESI仿宋-GB2312" w:cs="Times New Roman"/>
          <w:color w:val="auto"/>
          <w:sz w:val="32"/>
          <w:lang w:eastAsia="zh-CN"/>
        </w:rPr>
      </w:pPr>
      <w:r>
        <w:rPr>
          <w:rFonts w:hint="default" w:ascii="Times New Roman" w:hAnsi="Times New Roman" w:eastAsia="CESI仿宋-GB2312" w:cs="Times New Roman"/>
          <w:color w:val="auto"/>
          <w:kern w:val="0"/>
          <w:sz w:val="32"/>
          <w:szCs w:val="32"/>
          <w:lang w:eastAsia="zh-CN"/>
        </w:rPr>
        <w:t>责任单位：</w:t>
      </w:r>
      <w:r>
        <w:rPr>
          <w:rFonts w:hint="default" w:ascii="Times New Roman" w:hAnsi="Times New Roman" w:eastAsia="CESI仿宋-GB2312" w:cs="Times New Roman"/>
          <w:color w:val="auto"/>
          <w:kern w:val="0"/>
          <w:sz w:val="32"/>
          <w:szCs w:val="32"/>
          <w:lang w:val="en-US" w:eastAsia="zh-CN"/>
        </w:rPr>
        <w:t>各县（市、区）人民政府（管委会），</w:t>
      </w:r>
      <w:r>
        <w:rPr>
          <w:rFonts w:hint="default" w:ascii="Times New Roman" w:hAnsi="Times New Roman" w:eastAsia="CESI仿宋-GB2312" w:cs="Times New Roman"/>
          <w:color w:val="auto"/>
          <w:sz w:val="32"/>
          <w:lang w:eastAsia="zh-CN"/>
        </w:rPr>
        <w:t>市市场监管局、市住房城乡建设局、市供电公司</w:t>
      </w:r>
    </w:p>
    <w:p>
      <w:pPr>
        <w:widowControl/>
        <w:spacing w:line="560" w:lineRule="exact"/>
        <w:ind w:firstLine="640" w:firstLineChars="200"/>
        <w:jc w:val="left"/>
        <w:outlineLvl w:val="4"/>
        <w:rPr>
          <w:rFonts w:hint="default" w:ascii="Times New Roman" w:hAnsi="Times New Roman" w:eastAsia="CESI仿宋-GB2312" w:cs="Times New Roman"/>
          <w:color w:val="auto"/>
          <w:kern w:val="0"/>
          <w:sz w:val="32"/>
          <w:szCs w:val="32"/>
        </w:rPr>
      </w:pPr>
      <w:r>
        <w:rPr>
          <w:rFonts w:hint="default" w:ascii="Times New Roman" w:hAnsi="Times New Roman" w:eastAsia="CESI楷体-GB2312" w:cs="Times New Roman"/>
          <w:color w:val="auto"/>
          <w:sz w:val="32"/>
        </w:rPr>
        <w:t>（八</w:t>
      </w:r>
      <w:r>
        <w:rPr>
          <w:rFonts w:hint="default" w:ascii="Times New Roman" w:hAnsi="Times New Roman" w:eastAsia="CESI楷体-GB2312" w:cs="Times New Roman"/>
          <w:bCs/>
          <w:color w:val="auto"/>
          <w:kern w:val="0"/>
          <w:sz w:val="32"/>
          <w:szCs w:val="32"/>
        </w:rPr>
        <w:t>）加强既有居民小区配套电力规划建设</w:t>
      </w:r>
      <w:r>
        <w:rPr>
          <w:rFonts w:hint="default" w:ascii="Times New Roman" w:hAnsi="Times New Roman" w:eastAsia="CESI楷体-GB2312" w:cs="Times New Roman"/>
          <w:bCs/>
          <w:color w:val="auto"/>
          <w:kern w:val="0"/>
          <w:sz w:val="32"/>
          <w:szCs w:val="32"/>
          <w:lang w:eastAsia="zh-CN"/>
        </w:rPr>
        <w:t>。</w:t>
      </w:r>
      <w:r>
        <w:rPr>
          <w:rFonts w:hint="default" w:ascii="Times New Roman" w:hAnsi="Times New Roman" w:eastAsia="CESI仿宋-GB2312" w:cs="Times New Roman"/>
          <w:color w:val="auto"/>
          <w:sz w:val="32"/>
        </w:rPr>
        <w:t>完善既有居民小区充电设施专项规划，加大配套电网建设投入，提升充电保障能力，确保满足居民小区充电基础设施用电需求。既有居住区地下车库电源延伸至每一个防火分区，各防火分区表箱以集中布置为主，并根据防火分区结构特点优化布局，分区内原则上由本分区集中表箱引出。对居民小区剩余电力容量不能满足电动汽车充电设施建设需要</w:t>
      </w:r>
      <w:r>
        <w:rPr>
          <w:rFonts w:hint="default" w:ascii="Times New Roman" w:hAnsi="Times New Roman" w:eastAsia="CESI仿宋-GB2312" w:cs="Times New Roman"/>
          <w:color w:val="auto"/>
          <w:kern w:val="0"/>
          <w:sz w:val="32"/>
          <w:szCs w:val="32"/>
        </w:rPr>
        <w:t>，变压器为公共变压器的，由供电企业负责电力增容改造，属地街道办事处组织小区业主组织和物业企业配合提供电力设施建设位置；变压器为专用变压器的，由属地街道办事处组织专用变压器所有权人和小区业主组织提出解决方案，经意见一致后组织实</w:t>
      </w:r>
      <w:r>
        <w:rPr>
          <w:rFonts w:hint="default" w:ascii="Times New Roman" w:hAnsi="Times New Roman" w:eastAsia="CESI仿宋-GB2312" w:cs="Times New Roman"/>
          <w:color w:val="auto"/>
          <w:sz w:val="32"/>
        </w:rPr>
        <w:t>施</w:t>
      </w:r>
      <w:r>
        <w:rPr>
          <w:rFonts w:hint="default" w:ascii="Times New Roman" w:hAnsi="Times New Roman" w:eastAsia="CESI仿宋-GB2312" w:cs="Times New Roman"/>
          <w:color w:val="auto"/>
          <w:kern w:val="0"/>
          <w:sz w:val="32"/>
          <w:szCs w:val="32"/>
        </w:rPr>
        <w:t>。鼓励充电基础设施运营企业共同参与小区供配电设施增容改造，支持采用智能负荷管控、智能有序充电等技术手段实现错峰分时充电，提升电能利用效率，节约增容改造成本。</w:t>
      </w:r>
    </w:p>
    <w:p>
      <w:pPr>
        <w:widowControl/>
        <w:spacing w:line="560" w:lineRule="exact"/>
        <w:ind w:firstLine="640" w:firstLineChars="200"/>
        <w:jc w:val="left"/>
        <w:outlineLvl w:val="4"/>
        <w:rPr>
          <w:rFonts w:hint="default" w:ascii="Times New Roman" w:hAnsi="Times New Roman" w:eastAsia="CESI仿宋-GB2312" w:cs="Times New Roman"/>
          <w:color w:val="auto"/>
          <w:sz w:val="32"/>
          <w:lang w:eastAsia="zh-CN"/>
        </w:rPr>
      </w:pPr>
      <w:r>
        <w:rPr>
          <w:rFonts w:hint="default" w:ascii="Times New Roman" w:hAnsi="Times New Roman" w:eastAsia="CESI仿宋-GB2312" w:cs="Times New Roman"/>
          <w:color w:val="auto"/>
          <w:kern w:val="0"/>
          <w:sz w:val="32"/>
          <w:szCs w:val="32"/>
          <w:lang w:eastAsia="zh-CN"/>
        </w:rPr>
        <w:t>责任单位：</w:t>
      </w:r>
      <w:r>
        <w:rPr>
          <w:rFonts w:hint="default" w:ascii="Times New Roman" w:hAnsi="Times New Roman" w:eastAsia="CESI仿宋-GB2312" w:cs="Times New Roman"/>
          <w:color w:val="auto"/>
          <w:kern w:val="0"/>
          <w:sz w:val="32"/>
          <w:szCs w:val="32"/>
          <w:lang w:val="en-US" w:eastAsia="zh-CN"/>
        </w:rPr>
        <w:t>各县（市、区）人民政府（管委会），</w:t>
      </w:r>
      <w:r>
        <w:rPr>
          <w:rFonts w:hint="default" w:ascii="Times New Roman" w:hAnsi="Times New Roman" w:eastAsia="CESI仿宋-GB2312" w:cs="Times New Roman"/>
          <w:color w:val="auto"/>
          <w:sz w:val="32"/>
          <w:lang w:eastAsia="zh-CN"/>
        </w:rPr>
        <w:t>市市场监管局、市住房城乡建设局、市供电公司</w:t>
      </w:r>
    </w:p>
    <w:p>
      <w:pPr>
        <w:widowControl/>
        <w:spacing w:line="560" w:lineRule="exact"/>
        <w:ind w:firstLine="640" w:firstLineChars="200"/>
        <w:jc w:val="left"/>
        <w:outlineLvl w:val="3"/>
        <w:rPr>
          <w:rFonts w:hint="default" w:ascii="Times New Roman" w:hAnsi="Times New Roman" w:eastAsia="CESI黑体-GB2312" w:cs="Times New Roman"/>
          <w:bCs/>
          <w:color w:val="auto"/>
          <w:kern w:val="0"/>
          <w:sz w:val="32"/>
          <w:szCs w:val="32"/>
        </w:rPr>
      </w:pPr>
      <w:r>
        <w:rPr>
          <w:rFonts w:hint="default" w:ascii="Times New Roman" w:hAnsi="Times New Roman" w:eastAsia="CESI黑体-GB2312" w:cs="Times New Roman"/>
          <w:bCs/>
          <w:color w:val="auto"/>
          <w:kern w:val="0"/>
          <w:sz w:val="32"/>
          <w:szCs w:val="32"/>
          <w:lang w:eastAsia="zh-CN"/>
        </w:rPr>
        <w:t>四</w:t>
      </w:r>
      <w:r>
        <w:rPr>
          <w:rFonts w:hint="default" w:ascii="Times New Roman" w:hAnsi="Times New Roman" w:eastAsia="CESI黑体-GB2312" w:cs="Times New Roman"/>
          <w:bCs/>
          <w:color w:val="auto"/>
          <w:kern w:val="0"/>
          <w:sz w:val="32"/>
          <w:szCs w:val="32"/>
        </w:rPr>
        <w:t>、有关要求</w:t>
      </w:r>
    </w:p>
    <w:p>
      <w:pPr>
        <w:widowControl/>
        <w:spacing w:line="560" w:lineRule="exact"/>
        <w:ind w:firstLine="640" w:firstLineChars="200"/>
        <w:jc w:val="left"/>
        <w:outlineLvl w:val="4"/>
        <w:rPr>
          <w:rFonts w:hint="default" w:ascii="Times New Roman" w:hAnsi="Times New Roman" w:eastAsia="CESI仿宋-GB2312" w:cs="Times New Roman"/>
          <w:kern w:val="0"/>
          <w:sz w:val="32"/>
          <w:szCs w:val="32"/>
        </w:rPr>
      </w:pPr>
      <w:r>
        <w:rPr>
          <w:rFonts w:hint="default" w:ascii="Times New Roman" w:hAnsi="Times New Roman" w:eastAsia="CESI仿宋-GB2312" w:cs="Times New Roman"/>
          <w:color w:val="auto"/>
          <w:kern w:val="0"/>
          <w:sz w:val="32"/>
          <w:szCs w:val="32"/>
        </w:rPr>
        <w:t>市直各单位及各县（市、区）政府</w:t>
      </w:r>
      <w:r>
        <w:rPr>
          <w:rFonts w:hint="default" w:ascii="Times New Roman" w:hAnsi="Times New Roman" w:eastAsia="CESI仿宋-GB2312" w:cs="Times New Roman"/>
          <w:color w:val="auto"/>
          <w:kern w:val="0"/>
          <w:sz w:val="32"/>
          <w:szCs w:val="32"/>
          <w:lang w:eastAsia="zh-CN"/>
        </w:rPr>
        <w:t>（管委会）</w:t>
      </w:r>
      <w:r>
        <w:rPr>
          <w:rFonts w:hint="default" w:ascii="Times New Roman" w:hAnsi="Times New Roman" w:eastAsia="CESI仿宋-GB2312" w:cs="Times New Roman"/>
          <w:color w:val="auto"/>
          <w:kern w:val="0"/>
          <w:sz w:val="32"/>
          <w:szCs w:val="32"/>
        </w:rPr>
        <w:t>要高度重视居民小区电动汽车充电设施建设工作，加大充电设施建设力度，制定工作细则，明确部门职责，加强部门协作，形成工作合力。对新建小区要确保按要求配套建设，严标准开展“应建未建”专项检查，对辖区专用变压器居民小区，要按照“因院施策、一院一策”的方式确定后续增容方案，努力推动有安装充电设施需求的居民应装尽装。各县（市、区）政府</w:t>
      </w:r>
      <w:r>
        <w:rPr>
          <w:rFonts w:hint="default" w:ascii="Times New Roman" w:hAnsi="Times New Roman" w:eastAsia="CESI仿宋-GB2312" w:cs="Times New Roman"/>
          <w:color w:val="auto"/>
          <w:kern w:val="0"/>
          <w:sz w:val="32"/>
          <w:szCs w:val="32"/>
          <w:lang w:eastAsia="zh-CN"/>
        </w:rPr>
        <w:t>（管委会）</w:t>
      </w:r>
      <w:r>
        <w:rPr>
          <w:rFonts w:hint="default" w:ascii="Times New Roman" w:hAnsi="Times New Roman" w:eastAsia="CESI仿宋-GB2312" w:cs="Times New Roman"/>
          <w:color w:val="auto"/>
          <w:kern w:val="0"/>
          <w:sz w:val="32"/>
          <w:szCs w:val="32"/>
        </w:rPr>
        <w:t>和相关部门要高度重视宣传及政策解读工作，通过媒体宣传等多种形式及时让居民群众了解电动汽车充电设施建设的有关政策和报装流程等事宜，为全市居民小区充电设施建设工作营造良好的社会舆论氛围。居民小区充电设施建设依照有关规定纳入市政府督查内容，对各县（市、区）政府</w:t>
      </w:r>
      <w:r>
        <w:rPr>
          <w:rFonts w:hint="default" w:ascii="Times New Roman" w:hAnsi="Times New Roman" w:eastAsia="CESI仿宋-GB2312" w:cs="Times New Roman"/>
          <w:color w:val="auto"/>
          <w:kern w:val="0"/>
          <w:sz w:val="32"/>
          <w:szCs w:val="32"/>
          <w:lang w:eastAsia="zh-CN"/>
        </w:rPr>
        <w:t>（</w:t>
      </w:r>
      <w:r>
        <w:rPr>
          <w:rFonts w:hint="default" w:ascii="Times New Roman" w:hAnsi="Times New Roman" w:eastAsia="CESI仿宋-GB2312" w:cs="Times New Roman"/>
          <w:color w:val="auto"/>
          <w:kern w:val="0"/>
          <w:sz w:val="32"/>
          <w:szCs w:val="32"/>
        </w:rPr>
        <w:t>管委会</w:t>
      </w:r>
      <w:r>
        <w:rPr>
          <w:rFonts w:hint="default" w:ascii="Times New Roman" w:hAnsi="Times New Roman" w:eastAsia="CESI仿宋-GB2312" w:cs="Times New Roman"/>
          <w:color w:val="auto"/>
          <w:kern w:val="0"/>
          <w:sz w:val="32"/>
          <w:szCs w:val="32"/>
          <w:lang w:eastAsia="zh-CN"/>
        </w:rPr>
        <w:t>）</w:t>
      </w:r>
      <w:r>
        <w:rPr>
          <w:rFonts w:hint="default" w:ascii="Times New Roman" w:hAnsi="Times New Roman" w:eastAsia="CESI仿宋-GB2312" w:cs="Times New Roman"/>
          <w:color w:val="auto"/>
          <w:kern w:val="0"/>
          <w:sz w:val="32"/>
          <w:szCs w:val="32"/>
        </w:rPr>
        <w:t>和相关部门落实本方案和充电设施建设推进情况进行督导检查，对工作推进不力的在全市范围内予以</w:t>
      </w:r>
      <w:r>
        <w:rPr>
          <w:rFonts w:hint="default" w:ascii="Times New Roman" w:hAnsi="Times New Roman" w:eastAsia="CESI仿宋-GB2312" w:cs="Times New Roman"/>
          <w:kern w:val="0"/>
          <w:sz w:val="32"/>
          <w:szCs w:val="32"/>
        </w:rPr>
        <w:t>通报。</w:t>
      </w:r>
    </w:p>
    <w:p>
      <w:pPr>
        <w:widowControl/>
        <w:wordWrap w:val="0"/>
        <w:spacing w:line="560" w:lineRule="exact"/>
        <w:ind w:firstLine="640" w:firstLineChars="200"/>
        <w:jc w:val="right"/>
        <w:outlineLvl w:val="4"/>
        <w:rPr>
          <w:rFonts w:hint="default" w:ascii="Times New Roman" w:hAnsi="Times New Roman" w:eastAsia="CESI仿宋-GB2312" w:cs="Times New Roman"/>
          <w:kern w:val="0"/>
          <w:sz w:val="32"/>
          <w:szCs w:val="32"/>
        </w:rPr>
      </w:pPr>
    </w:p>
    <w:p>
      <w:pPr>
        <w:widowControl/>
        <w:wordWrap w:val="0"/>
        <w:spacing w:line="560" w:lineRule="exact"/>
        <w:ind w:firstLine="640" w:firstLineChars="200"/>
        <w:jc w:val="right"/>
        <w:outlineLvl w:val="4"/>
        <w:rPr>
          <w:rFonts w:hint="default" w:ascii="Times New Roman" w:hAnsi="Times New Roman" w:eastAsia="CESI仿宋-GB2312" w:cs="Times New Roman"/>
          <w:kern w:val="0"/>
          <w:sz w:val="32"/>
          <w:szCs w:val="32"/>
        </w:rPr>
      </w:pPr>
    </w:p>
    <w:p>
      <w:pPr>
        <w:widowControl/>
        <w:wordWrap w:val="0"/>
        <w:spacing w:line="560" w:lineRule="exact"/>
        <w:ind w:firstLine="640" w:firstLineChars="200"/>
        <w:jc w:val="right"/>
        <w:outlineLvl w:val="4"/>
        <w:rPr>
          <w:rFonts w:hint="default" w:ascii="Times New Roman" w:hAnsi="Times New Roman" w:eastAsia="CESI仿宋-GB2312" w:cs="Times New Roman"/>
          <w:kern w:val="0"/>
          <w:sz w:val="32"/>
          <w:szCs w:val="32"/>
          <w:lang w:val="en-US" w:eastAsia="zh-CN"/>
        </w:rPr>
      </w:pPr>
      <w:r>
        <w:rPr>
          <w:rFonts w:hint="default" w:ascii="Times New Roman" w:hAnsi="Times New Roman" w:eastAsia="CESI仿宋-GB2312" w:cs="Times New Roman"/>
          <w:kern w:val="0"/>
          <w:sz w:val="32"/>
          <w:szCs w:val="32"/>
        </w:rPr>
        <w:t>2025年10月</w:t>
      </w:r>
      <w:r>
        <w:rPr>
          <w:rFonts w:hint="default" w:ascii="Times New Roman" w:hAnsi="Times New Roman" w:eastAsia="CESI仿宋-GB2312" w:cs="Times New Roman"/>
          <w:kern w:val="0"/>
          <w:sz w:val="32"/>
          <w:szCs w:val="32"/>
          <w:lang w:val="en-US" w:eastAsia="zh-CN"/>
        </w:rPr>
        <w:t xml:space="preserve">  </w:t>
      </w:r>
      <w:r>
        <w:rPr>
          <w:rFonts w:hint="default" w:ascii="Times New Roman" w:hAnsi="Times New Roman" w:eastAsia="CESI仿宋-GB2312" w:cs="Times New Roman"/>
          <w:kern w:val="0"/>
          <w:sz w:val="32"/>
          <w:szCs w:val="32"/>
        </w:rPr>
        <w:t>日</w:t>
      </w:r>
      <w:r>
        <w:rPr>
          <w:rFonts w:hint="default" w:ascii="Times New Roman" w:hAnsi="Times New Roman" w:eastAsia="CESI仿宋-GB2312" w:cs="Times New Roman"/>
          <w:kern w:val="0"/>
          <w:sz w:val="32"/>
          <w:szCs w:val="32"/>
          <w:lang w:val="en-US" w:eastAsia="zh-CN"/>
        </w:rPr>
        <w:t xml:space="preserve">        </w:t>
      </w:r>
    </w:p>
    <w:sectPr>
      <w:footerReference r:id="rId3" w:type="default"/>
      <w:pgSz w:w="11906" w:h="16838"/>
      <w:pgMar w:top="2098" w:right="1474" w:bottom="1758" w:left="158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00007A87" w:usb1="80000000" w:usb2="00000008" w:usb3="00000000" w:csb0="400001FF" w:csb1="FFFF0000"/>
  </w:font>
  <w:font w:name="宋体">
    <w:altName w:val="Droid Sans Fallback"/>
    <w:panose1 w:val="00000000000000000000"/>
    <w:charset w:val="00"/>
    <w:family w:val="auto"/>
    <w:pitch w:val="default"/>
    <w:sig w:usb0="00000000" w:usb1="00000000" w:usb2="00000000" w:usb3="00000000" w:csb0="00000000" w:csb1="00000000"/>
  </w:font>
  <w:font w:name="Wingdings">
    <w:altName w:val="极字经典仿宋简繁-闪"/>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Droid Sans Fallbac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极字经典仿宋简繁-闪"/>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 w:name="CESI小标宋-GB2312">
    <w:panose1 w:val="02000500000000000000"/>
    <w:charset w:val="86"/>
    <w:family w:val="auto"/>
    <w:pitch w:val="default"/>
    <w:sig w:usb0="800002AF" w:usb1="084F6CF8" w:usb2="00000010" w:usb3="00000000" w:csb0="0004000F" w:csb1="00000000"/>
  </w:font>
  <w:font w:name="仿宋_GB2312">
    <w:altName w:val="Droid Sans Fallback"/>
    <w:panose1 w:val="02010609030101010101"/>
    <w:charset w:val="86"/>
    <w:family w:val="modern"/>
    <w:pitch w:val="default"/>
    <w:sig w:usb0="00000000" w:usb1="00000000" w:usb2="00000010" w:usb3="00000000" w:csb0="00040000" w:csb1="00000000"/>
  </w:font>
  <w:font w:name="CESI仿宋-GB2312">
    <w:panose1 w:val="02000500000000000000"/>
    <w:charset w:val="86"/>
    <w:family w:val="auto"/>
    <w:pitch w:val="default"/>
    <w:sig w:usb0="800002AF" w:usb1="084F6CF8" w:usb2="00000010" w:usb3="00000000" w:csb0="0004000F"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CESI宋体-GB2312">
    <w:panose1 w:val="02000500000000000000"/>
    <w:charset w:val="86"/>
    <w:family w:val="auto"/>
    <w:pitch w:val="default"/>
    <w:sig w:usb0="800002AF" w:usb1="08476CF8" w:usb2="00000010" w:usb3="00000000" w:csb0="0004000F" w:csb1="00000000"/>
  </w:font>
  <w:font w:name="华文仿宋">
    <w:panose1 w:val="02010600040101010101"/>
    <w:charset w:val="86"/>
    <w:family w:val="auto"/>
    <w:pitch w:val="default"/>
    <w:sig w:usb0="00000287" w:usb1="080F0000" w:usb2="00000000" w:usb3="00000000" w:csb0="0004009F" w:csb1="DFD70000"/>
  </w:font>
  <w:font w:name="极字经典仿宋简繁-闪">
    <w:panose1 w:val="02020300000000000000"/>
    <w:charset w:val="86"/>
    <w:family w:val="auto"/>
    <w:pitch w:val="default"/>
    <w:sig w:usb0="00000003"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CESI宋体-GB2312" w:hAnsi="CESI宋体-GB2312" w:eastAsia="CESI宋体-GB2312" w:cs="CESI宋体-GB2312"/>
                              <w:sz w:val="28"/>
                              <w:szCs w:val="28"/>
                            </w:rPr>
                          </w:pPr>
                          <w:r>
                            <w:rPr>
                              <w:rFonts w:hint="eastAsia" w:ascii="CESI宋体-GB2312" w:hAnsi="CESI宋体-GB2312" w:eastAsia="CESI宋体-GB2312" w:cs="CESI宋体-GB2312"/>
                              <w:sz w:val="28"/>
                              <w:szCs w:val="28"/>
                            </w:rPr>
                            <w:t xml:space="preserve">— </w:t>
                          </w:r>
                          <w:r>
                            <w:rPr>
                              <w:rFonts w:hint="eastAsia" w:ascii="CESI宋体-GB2312" w:hAnsi="CESI宋体-GB2312" w:eastAsia="CESI宋体-GB2312" w:cs="CESI宋体-GB2312"/>
                              <w:sz w:val="28"/>
                              <w:szCs w:val="28"/>
                            </w:rPr>
                            <w:fldChar w:fldCharType="begin"/>
                          </w:r>
                          <w:r>
                            <w:rPr>
                              <w:rFonts w:hint="eastAsia" w:ascii="CESI宋体-GB2312" w:hAnsi="CESI宋体-GB2312" w:eastAsia="CESI宋体-GB2312" w:cs="CESI宋体-GB2312"/>
                              <w:sz w:val="28"/>
                              <w:szCs w:val="28"/>
                            </w:rPr>
                            <w:instrText xml:space="preserve"> PAGE  \* MERGEFORMAT </w:instrText>
                          </w:r>
                          <w:r>
                            <w:rPr>
                              <w:rFonts w:hint="eastAsia" w:ascii="CESI宋体-GB2312" w:hAnsi="CESI宋体-GB2312" w:eastAsia="CESI宋体-GB2312" w:cs="CESI宋体-GB2312"/>
                              <w:sz w:val="28"/>
                              <w:szCs w:val="28"/>
                            </w:rPr>
                            <w:fldChar w:fldCharType="separate"/>
                          </w:r>
                          <w:r>
                            <w:rPr>
                              <w:rFonts w:hint="eastAsia" w:ascii="CESI宋体-GB2312" w:hAnsi="CESI宋体-GB2312" w:eastAsia="CESI宋体-GB2312" w:cs="CESI宋体-GB2312"/>
                              <w:sz w:val="28"/>
                              <w:szCs w:val="28"/>
                            </w:rPr>
                            <w:t>1</w:t>
                          </w:r>
                          <w:r>
                            <w:rPr>
                              <w:rFonts w:hint="eastAsia" w:ascii="CESI宋体-GB2312" w:hAnsi="CESI宋体-GB2312" w:eastAsia="CESI宋体-GB2312" w:cs="CESI宋体-GB2312"/>
                              <w:sz w:val="28"/>
                              <w:szCs w:val="28"/>
                            </w:rPr>
                            <w:fldChar w:fldCharType="end"/>
                          </w:r>
                          <w:r>
                            <w:rPr>
                              <w:rFonts w:hint="eastAsia" w:ascii="CESI宋体-GB2312" w:hAnsi="CESI宋体-GB2312" w:eastAsia="CESI宋体-GB2312" w:cs="CESI宋体-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5"/>
                      <w:rPr>
                        <w:rFonts w:hint="eastAsia" w:ascii="CESI宋体-GB2312" w:hAnsi="CESI宋体-GB2312" w:eastAsia="CESI宋体-GB2312" w:cs="CESI宋体-GB2312"/>
                        <w:sz w:val="28"/>
                        <w:szCs w:val="28"/>
                      </w:rPr>
                    </w:pPr>
                    <w:r>
                      <w:rPr>
                        <w:rFonts w:hint="eastAsia" w:ascii="CESI宋体-GB2312" w:hAnsi="CESI宋体-GB2312" w:eastAsia="CESI宋体-GB2312" w:cs="CESI宋体-GB2312"/>
                        <w:sz w:val="28"/>
                        <w:szCs w:val="28"/>
                      </w:rPr>
                      <w:t xml:space="preserve">— </w:t>
                    </w:r>
                    <w:r>
                      <w:rPr>
                        <w:rFonts w:hint="eastAsia" w:ascii="CESI宋体-GB2312" w:hAnsi="CESI宋体-GB2312" w:eastAsia="CESI宋体-GB2312" w:cs="CESI宋体-GB2312"/>
                        <w:sz w:val="28"/>
                        <w:szCs w:val="28"/>
                      </w:rPr>
                      <w:fldChar w:fldCharType="begin"/>
                    </w:r>
                    <w:r>
                      <w:rPr>
                        <w:rFonts w:hint="eastAsia" w:ascii="CESI宋体-GB2312" w:hAnsi="CESI宋体-GB2312" w:eastAsia="CESI宋体-GB2312" w:cs="CESI宋体-GB2312"/>
                        <w:sz w:val="28"/>
                        <w:szCs w:val="28"/>
                      </w:rPr>
                      <w:instrText xml:space="preserve"> PAGE  \* MERGEFORMAT </w:instrText>
                    </w:r>
                    <w:r>
                      <w:rPr>
                        <w:rFonts w:hint="eastAsia" w:ascii="CESI宋体-GB2312" w:hAnsi="CESI宋体-GB2312" w:eastAsia="CESI宋体-GB2312" w:cs="CESI宋体-GB2312"/>
                        <w:sz w:val="28"/>
                        <w:szCs w:val="28"/>
                      </w:rPr>
                      <w:fldChar w:fldCharType="separate"/>
                    </w:r>
                    <w:r>
                      <w:rPr>
                        <w:rFonts w:hint="eastAsia" w:ascii="CESI宋体-GB2312" w:hAnsi="CESI宋体-GB2312" w:eastAsia="CESI宋体-GB2312" w:cs="CESI宋体-GB2312"/>
                        <w:sz w:val="28"/>
                        <w:szCs w:val="28"/>
                      </w:rPr>
                      <w:t>1</w:t>
                    </w:r>
                    <w:r>
                      <w:rPr>
                        <w:rFonts w:hint="eastAsia" w:ascii="CESI宋体-GB2312" w:hAnsi="CESI宋体-GB2312" w:eastAsia="CESI宋体-GB2312" w:cs="CESI宋体-GB2312"/>
                        <w:sz w:val="28"/>
                        <w:szCs w:val="28"/>
                      </w:rPr>
                      <w:fldChar w:fldCharType="end"/>
                    </w:r>
                    <w:r>
                      <w:rPr>
                        <w:rFonts w:hint="eastAsia" w:ascii="CESI宋体-GB2312" w:hAnsi="CESI宋体-GB2312" w:eastAsia="CESI宋体-GB2312" w:cs="CESI宋体-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3D2"/>
    <w:rsid w:val="000733D2"/>
    <w:rsid w:val="00073958"/>
    <w:rsid w:val="002D41EB"/>
    <w:rsid w:val="00904F8F"/>
    <w:rsid w:val="00DA1642"/>
    <w:rsid w:val="00E15AD4"/>
    <w:rsid w:val="37DF3B84"/>
    <w:rsid w:val="39FFB9E8"/>
    <w:rsid w:val="3B57142A"/>
    <w:rsid w:val="4B3E561A"/>
    <w:rsid w:val="5EB66205"/>
    <w:rsid w:val="6AD195B8"/>
    <w:rsid w:val="7BFDF04D"/>
    <w:rsid w:val="7DDFB4AA"/>
    <w:rsid w:val="7ECD4123"/>
    <w:rsid w:val="7FFEA04C"/>
    <w:rsid w:val="AEF78A39"/>
    <w:rsid w:val="CFDD17AB"/>
    <w:rsid w:val="F562D7B2"/>
    <w:rsid w:val="FAED1723"/>
    <w:rsid w:val="FDEAF9E5"/>
    <w:rsid w:val="FDFE4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qFormat="1" w:unhideWhenUsed="0" w:uiPriority="9" w:semiHidden="0" w:name="heading 3"/>
    <w:lsdException w:qFormat="1" w:unhideWhenUsed="0" w:uiPriority="9" w:semiHidden="0" w:name="heading 4"/>
    <w:lsdException w:qFormat="1" w:unhideWhenUsed="0" w:uiPriority="9" w:semiHidden="0"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unhideWhenUsed="0" w:uiPriority="99"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4"/>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3">
    <w:name w:val="heading 4"/>
    <w:basedOn w:val="1"/>
    <w:next w:val="1"/>
    <w:link w:val="15"/>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paragraph" w:styleId="4">
    <w:name w:val="heading 5"/>
    <w:basedOn w:val="1"/>
    <w:next w:val="1"/>
    <w:link w:val="16"/>
    <w:qFormat/>
    <w:uiPriority w:val="9"/>
    <w:pPr>
      <w:widowControl/>
      <w:spacing w:before="100" w:beforeAutospacing="1" w:after="100" w:afterAutospacing="1"/>
      <w:jc w:val="left"/>
      <w:outlineLvl w:val="4"/>
    </w:pPr>
    <w:rPr>
      <w:rFonts w:ascii="宋体" w:hAnsi="宋体" w:eastAsia="宋体" w:cs="宋体"/>
      <w:b/>
      <w:bCs/>
      <w:kern w:val="0"/>
      <w:sz w:val="20"/>
      <w:szCs w:val="20"/>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customStyle="1" w:styleId="11">
    <w:name w:val="标题 3 Char"/>
    <w:basedOn w:val="9"/>
    <w:link w:val="2"/>
    <w:qFormat/>
    <w:uiPriority w:val="9"/>
    <w:rPr>
      <w:rFonts w:ascii="宋体" w:hAnsi="宋体" w:eastAsia="宋体" w:cs="宋体"/>
      <w:b/>
      <w:bCs/>
      <w:kern w:val="0"/>
      <w:sz w:val="27"/>
      <w:szCs w:val="27"/>
    </w:rPr>
  </w:style>
  <w:style w:type="character" w:customStyle="1" w:styleId="12">
    <w:name w:val="标题 4 Char"/>
    <w:basedOn w:val="9"/>
    <w:link w:val="3"/>
    <w:qFormat/>
    <w:uiPriority w:val="9"/>
    <w:rPr>
      <w:rFonts w:ascii="宋体" w:hAnsi="宋体" w:eastAsia="宋体" w:cs="宋体"/>
      <w:b/>
      <w:bCs/>
      <w:kern w:val="0"/>
      <w:sz w:val="24"/>
      <w:szCs w:val="24"/>
    </w:rPr>
  </w:style>
  <w:style w:type="character" w:customStyle="1" w:styleId="13">
    <w:name w:val="标题 5 Char"/>
    <w:basedOn w:val="9"/>
    <w:link w:val="4"/>
    <w:qFormat/>
    <w:uiPriority w:val="9"/>
    <w:rPr>
      <w:rFonts w:ascii="宋体" w:hAnsi="宋体" w:eastAsia="宋体" w:cs="宋体"/>
      <w:b/>
      <w:bCs/>
      <w:kern w:val="0"/>
      <w:sz w:val="20"/>
      <w:szCs w:val="20"/>
    </w:rPr>
  </w:style>
  <w:style w:type="character" w:customStyle="1" w:styleId="14">
    <w:name w:val="标题 3 Char1"/>
    <w:link w:val="2"/>
    <w:qFormat/>
    <w:uiPriority w:val="9"/>
    <w:rPr>
      <w:rFonts w:ascii="宋体" w:hAnsi="宋体" w:eastAsia="宋体" w:cs="宋体"/>
      <w:b/>
      <w:bCs/>
      <w:kern w:val="0"/>
      <w:sz w:val="27"/>
      <w:szCs w:val="27"/>
    </w:rPr>
  </w:style>
  <w:style w:type="character" w:customStyle="1" w:styleId="15">
    <w:name w:val="标题 4 Char1"/>
    <w:link w:val="3"/>
    <w:qFormat/>
    <w:uiPriority w:val="9"/>
    <w:rPr>
      <w:rFonts w:ascii="宋体" w:hAnsi="宋体" w:eastAsia="宋体" w:cs="宋体"/>
      <w:b/>
      <w:bCs/>
      <w:kern w:val="0"/>
      <w:sz w:val="24"/>
      <w:szCs w:val="24"/>
    </w:rPr>
  </w:style>
  <w:style w:type="character" w:customStyle="1" w:styleId="16">
    <w:name w:val="标题 5 Char1"/>
    <w:link w:val="4"/>
    <w:qFormat/>
    <w:uiPriority w:val="9"/>
    <w:rPr>
      <w:rFonts w:ascii="宋体" w:hAnsi="宋体" w:eastAsia="宋体" w:cs="宋体"/>
      <w:b/>
      <w:bCs/>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3862</Words>
  <Characters>3921</Characters>
  <Lines>20</Lines>
  <Paragraphs>5</Paragraphs>
  <TotalTime>154</TotalTime>
  <ScaleCrop>false</ScaleCrop>
  <LinksUpToDate>false</LinksUpToDate>
  <CharactersWithSpaces>3931</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2025-10-14T15:51:00Z</dcterms:created>
  <dc:creator>18222307285@126.com</dc:creator>
  <cp:lastModifiedBy>WPS_1339189603</cp:lastModifiedBy>
  <cp:lastPrinted>2025-10-22T22:46:00Z</cp:lastPrinted>
  <dcterms:modified xsi:type="dcterms:W3CDTF">2025-10-30T10:30:02Z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ies>
</file>